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BFD951C"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9703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79703B">
        <w:rPr>
          <w:rFonts w:ascii="Palatino Linotype" w:eastAsia="Times New Roman" w:hAnsi="Palatino Linotype" w:cs="Arial"/>
          <w:color w:val="000000"/>
          <w:sz w:val="24"/>
          <w:szCs w:val="24"/>
          <w:lang w:eastAsia="es-MX"/>
        </w:rPr>
        <w:t xml:space="preserve">a </w:t>
      </w:r>
      <w:r w:rsidR="003740F0" w:rsidRPr="0079703B">
        <w:rPr>
          <w:rFonts w:ascii="Palatino Linotype" w:eastAsia="Times New Roman" w:hAnsi="Palatino Linotype" w:cs="Arial"/>
          <w:color w:val="000000"/>
          <w:sz w:val="24"/>
          <w:szCs w:val="24"/>
          <w:lang w:eastAsia="es-MX"/>
        </w:rPr>
        <w:t>doce</w:t>
      </w:r>
      <w:r w:rsidR="0035578B" w:rsidRPr="0079703B">
        <w:rPr>
          <w:rFonts w:ascii="Palatino Linotype" w:eastAsia="Times New Roman" w:hAnsi="Palatino Linotype" w:cs="Arial"/>
          <w:color w:val="000000"/>
          <w:sz w:val="24"/>
          <w:szCs w:val="24"/>
          <w:lang w:eastAsia="es-MX"/>
        </w:rPr>
        <w:t xml:space="preserve"> de septiembre</w:t>
      </w:r>
      <w:r w:rsidR="00EE4E07" w:rsidRPr="0079703B">
        <w:rPr>
          <w:rFonts w:ascii="Palatino Linotype" w:eastAsia="Times New Roman" w:hAnsi="Palatino Linotype" w:cs="Arial"/>
          <w:color w:val="000000"/>
          <w:sz w:val="24"/>
          <w:szCs w:val="24"/>
          <w:lang w:eastAsia="es-MX"/>
        </w:rPr>
        <w:t xml:space="preserve"> de dos mil dieciocho.</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r w:rsidR="0036464C">
        <w:rPr>
          <w:rFonts w:ascii="Palatino Linotype" w:eastAsia="Times New Roman" w:hAnsi="Palatino Linotype" w:cs="Arial"/>
          <w:color w:val="000000"/>
          <w:sz w:val="24"/>
          <w:szCs w:val="24"/>
          <w:lang w:eastAsia="es-MX"/>
        </w:rPr>
        <w:t xml:space="preserve"> </w:t>
      </w:r>
    </w:p>
    <w:p w14:paraId="3573D078" w14:textId="47136531" w:rsidR="0035578B" w:rsidRPr="0035578B" w:rsidRDefault="004F7AF7" w:rsidP="004F7AF7">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35578B">
        <w:rPr>
          <w:rFonts w:ascii="Palatino Linotype" w:hAnsi="Palatino Linotype" w:cs="Arial"/>
          <w:b/>
          <w:bCs/>
          <w:sz w:val="24"/>
          <w:lang w:eastAsia="es-MX"/>
        </w:rPr>
        <w:t>2565</w:t>
      </w:r>
      <w:r>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35578B">
        <w:rPr>
          <w:rFonts w:ascii="Palatino Linotype" w:hAnsi="Palatino Linotype" w:cs="Arial"/>
          <w:sz w:val="24"/>
          <w:szCs w:val="24"/>
        </w:rPr>
        <w:t xml:space="preserve">el </w:t>
      </w:r>
      <w:r w:rsidR="0035578B">
        <w:rPr>
          <w:rFonts w:ascii="Palatino Linotype" w:hAnsi="Palatino Linotype" w:cs="Arial"/>
          <w:b/>
          <w:sz w:val="24"/>
          <w:szCs w:val="24"/>
        </w:rPr>
        <w:t xml:space="preserve">C. </w:t>
      </w:r>
      <w:r w:rsidR="0091304D">
        <w:rPr>
          <w:rFonts w:ascii="Palatino Linotype" w:hAnsi="Palatino Linotype" w:cs="Arial"/>
          <w:b/>
          <w:sz w:val="24"/>
          <w:szCs w:val="24"/>
        </w:rPr>
        <w:t>X</w:t>
      </w:r>
      <w:r w:rsidR="00705FC9">
        <w:rPr>
          <w:rFonts w:ascii="Palatino Linotype" w:hAnsi="Palatino Linotype" w:cs="Arial"/>
          <w:b/>
          <w:sz w:val="24"/>
          <w:szCs w:val="24"/>
        </w:rPr>
        <w:t>XXXXXX</w:t>
      </w:r>
      <w:r w:rsidR="0091304D">
        <w:rPr>
          <w:rFonts w:ascii="Palatino Linotype" w:hAnsi="Palatino Linotype" w:cs="Arial"/>
          <w:b/>
          <w:sz w:val="24"/>
          <w:szCs w:val="24"/>
        </w:rPr>
        <w:t>XXXXX</w:t>
      </w:r>
      <w:bookmarkStart w:id="0" w:name="_GoBack"/>
      <w:bookmarkEnd w:id="0"/>
      <w:r w:rsidR="0091304D">
        <w:rPr>
          <w:rFonts w:ascii="Palatino Linotype" w:hAnsi="Palatino Linotype" w:cs="Arial"/>
          <w:b/>
          <w:sz w:val="24"/>
          <w:szCs w:val="24"/>
        </w:rPr>
        <w:t>XX</w:t>
      </w:r>
      <w:r w:rsidR="0035578B">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4374AC">
        <w:rPr>
          <w:rFonts w:ascii="Palatino Linotype" w:hAnsi="Palatino Linotype" w:cs="Arial"/>
          <w:b/>
          <w:sz w:val="24"/>
          <w:szCs w:val="24"/>
        </w:rPr>
        <w:t>El</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w:t>
      </w:r>
      <w:r w:rsidR="00213E1C">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sidR="0035578B">
        <w:rPr>
          <w:rFonts w:ascii="Palatino Linotype" w:hAnsi="Palatino Linotype" w:cs="Arial"/>
          <w:b/>
          <w:sz w:val="24"/>
          <w:szCs w:val="24"/>
        </w:rPr>
        <w:t xml:space="preserve">Partido Morena, </w:t>
      </w:r>
      <w:r w:rsidR="0035578B">
        <w:rPr>
          <w:rFonts w:ascii="Palatino Linotype" w:hAnsi="Palatino Linotype" w:cs="Arial"/>
          <w:sz w:val="24"/>
          <w:szCs w:val="24"/>
        </w:rPr>
        <w:t>en lo subsecuente</w:t>
      </w:r>
      <w:r w:rsidR="0035578B" w:rsidRPr="0035578B">
        <w:rPr>
          <w:rFonts w:ascii="Palatino Linotype" w:hAnsi="Palatino Linotype" w:cs="Arial"/>
          <w:b/>
          <w:sz w:val="24"/>
          <w:szCs w:val="24"/>
        </w:rPr>
        <w:t xml:space="preserve"> </w:t>
      </w:r>
      <w:r w:rsidR="0035578B" w:rsidRPr="00F403EA">
        <w:rPr>
          <w:rFonts w:ascii="Palatino Linotype" w:hAnsi="Palatino Linotype" w:cs="Arial"/>
          <w:b/>
          <w:sz w:val="24"/>
          <w:szCs w:val="24"/>
        </w:rPr>
        <w:t xml:space="preserve">El Sujeto Obligado, </w:t>
      </w:r>
      <w:r w:rsidR="0035578B" w:rsidRPr="00F403EA">
        <w:rPr>
          <w:rFonts w:ascii="Palatino Linotype" w:hAnsi="Palatino Linotype" w:cs="Arial"/>
          <w:sz w:val="24"/>
          <w:szCs w:val="24"/>
        </w:rPr>
        <w:t>se procede a</w:t>
      </w:r>
      <w:r w:rsidR="0035578B" w:rsidRPr="00F403EA">
        <w:rPr>
          <w:rFonts w:ascii="Palatino Linotype" w:hAnsi="Palatino Linotype" w:cs="Arial"/>
          <w:sz w:val="24"/>
        </w:rPr>
        <w:t xml:space="preserve"> dictar la presente resolución.</w:t>
      </w:r>
    </w:p>
    <w:p w14:paraId="318423F6" w14:textId="77777777" w:rsidR="0035578B" w:rsidRDefault="0035578B" w:rsidP="004F7AF7">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1F38705" w14:textId="4C3884C6" w:rsidR="0035578B" w:rsidRPr="0035578B"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5578B">
        <w:rPr>
          <w:rFonts w:ascii="Palatino Linotype" w:hAnsi="Palatino Linotype" w:cs="Arial"/>
          <w:sz w:val="24"/>
        </w:rPr>
        <w:t xml:space="preserve">cinco de junio de dos mil dieciocho, </w:t>
      </w:r>
      <w:r w:rsidR="0035578B">
        <w:rPr>
          <w:rFonts w:ascii="Palatino Linotype" w:hAnsi="Palatino Linotype" w:cs="Arial"/>
          <w:b/>
          <w:sz w:val="24"/>
        </w:rPr>
        <w:t xml:space="preserve">El Recurrente, </w:t>
      </w:r>
      <w:r w:rsidR="0035578B">
        <w:rPr>
          <w:rFonts w:ascii="Palatino Linotype" w:hAnsi="Palatino Linotype" w:cs="Arial"/>
          <w:sz w:val="24"/>
        </w:rPr>
        <w:t>presentó a través del Sistema de Acceso de Información Mexiquense (</w:t>
      </w:r>
      <w:r w:rsidR="0035578B">
        <w:rPr>
          <w:rFonts w:ascii="Palatino Linotype" w:hAnsi="Palatino Linotype" w:cs="Arial"/>
          <w:b/>
          <w:sz w:val="24"/>
        </w:rPr>
        <w:t>SAIMEX)</w:t>
      </w:r>
      <w:r w:rsidR="0035578B">
        <w:rPr>
          <w:rFonts w:ascii="Palatino Linotype" w:hAnsi="Palatino Linotype" w:cs="Arial"/>
          <w:sz w:val="24"/>
        </w:rPr>
        <w:t xml:space="preserve"> ante </w:t>
      </w:r>
      <w:r w:rsidR="0035578B">
        <w:rPr>
          <w:rFonts w:ascii="Palatino Linotype" w:hAnsi="Palatino Linotype" w:cs="Arial"/>
          <w:b/>
          <w:sz w:val="24"/>
        </w:rPr>
        <w:t>El Sujeto Obligado</w:t>
      </w:r>
      <w:r w:rsidR="0035578B">
        <w:rPr>
          <w:rFonts w:ascii="Palatino Linotype" w:hAnsi="Palatino Linotype" w:cs="Arial"/>
          <w:sz w:val="24"/>
        </w:rPr>
        <w:t xml:space="preserve">, solicitud de acceso a la información pública, registrada bajo el número de expediente </w:t>
      </w:r>
      <w:r w:rsidR="0035578B">
        <w:rPr>
          <w:rFonts w:ascii="Palatino Linotype" w:hAnsi="Palatino Linotype" w:cs="Arial"/>
          <w:b/>
          <w:sz w:val="24"/>
        </w:rPr>
        <w:t xml:space="preserve">00048/PMOR/IP/2018, </w:t>
      </w:r>
      <w:r w:rsidR="0035578B">
        <w:rPr>
          <w:rFonts w:ascii="Palatino Linotype" w:hAnsi="Palatino Linotype" w:cs="Arial"/>
          <w:sz w:val="24"/>
        </w:rPr>
        <w:t xml:space="preserve">mediante la cual solicitó información en el tenor siguiente: </w:t>
      </w:r>
    </w:p>
    <w:p w14:paraId="0010F1A0" w14:textId="1EDE12F3" w:rsidR="006168E4" w:rsidRPr="00BF4CB5" w:rsidRDefault="006168E4" w:rsidP="009C564F">
      <w:pPr>
        <w:spacing w:before="240" w:line="360" w:lineRule="auto"/>
        <w:ind w:left="851" w:right="851"/>
        <w:jc w:val="both"/>
        <w:rPr>
          <w:rFonts w:ascii="Palatino Linotype" w:eastAsia="Times New Roman" w:hAnsi="Palatino Linotype" w:cs="Times New Roman"/>
          <w:b/>
          <w:i/>
          <w:lang w:val="es-ES_tradnl" w:eastAsia="es-ES"/>
        </w:rPr>
      </w:pPr>
      <w:r w:rsidRPr="0035578B">
        <w:rPr>
          <w:rFonts w:ascii="Palatino Linotype" w:eastAsia="Times New Roman" w:hAnsi="Palatino Linotype" w:cs="Times New Roman"/>
          <w:i/>
          <w:lang w:val="es-ES_tradnl" w:eastAsia="es-ES"/>
        </w:rPr>
        <w:t>“</w:t>
      </w:r>
      <w:r w:rsidR="0035578B" w:rsidRPr="0035578B">
        <w:rPr>
          <w:rFonts w:ascii="Palatino Linotype" w:hAnsi="Palatino Linotype"/>
          <w:i/>
          <w:color w:val="000000"/>
        </w:rPr>
        <w:t>¿Cantidad total de recursos asignados para la campaña en el distrito 1 federal del estado de México? Desglose de los gastos de la campaña del distrito 1 federal hasta el día 5/06/2018. ¿Cantidad total de recursos asignados para la campaña del municipio de Villa del Carbón, estado de México? Desglose de los gastos de la campaña del municipio de Villa del Carbón hasta el día 5/06/2018.</w:t>
      </w:r>
      <w:r w:rsidRPr="0035578B">
        <w:rPr>
          <w:rFonts w:ascii="Palatino Linotype" w:eastAsia="Times New Roman" w:hAnsi="Palatino Linotype" w:cs="Times New Roman"/>
          <w:i/>
          <w:lang w:val="es-ES_tradnl" w:eastAsia="es-ES"/>
        </w:rPr>
        <w:t>”</w:t>
      </w:r>
      <w:r w:rsidRPr="00BF4CB5">
        <w:rPr>
          <w:rFonts w:ascii="Palatino Linotype" w:eastAsia="Times New Roman" w:hAnsi="Palatino Linotype" w:cs="Times New Roman"/>
          <w:i/>
          <w:lang w:val="es-ES_tradnl" w:eastAsia="es-ES"/>
        </w:rPr>
        <w:t xml:space="preserve"> </w:t>
      </w:r>
      <w:r w:rsidRPr="00BF4CB5">
        <w:rPr>
          <w:rFonts w:ascii="Palatino Linotype" w:eastAsia="Times New Roman" w:hAnsi="Palatino Linotype" w:cs="Times New Roman"/>
          <w:b/>
          <w:i/>
          <w:lang w:val="es-ES_tradnl" w:eastAsia="es-ES"/>
        </w:rPr>
        <w:t>[Sic]</w:t>
      </w:r>
    </w:p>
    <w:p w14:paraId="64AF5413" w14:textId="559C3D35"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708576B7" w14:textId="3C0D409E"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34369F2D" w14:textId="3E08304F" w:rsidR="004D073F" w:rsidRDefault="004D073F" w:rsidP="004D073F">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35578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w:t>
      </w:r>
      <w:r w:rsidR="00F406EA">
        <w:rPr>
          <w:rFonts w:ascii="Palatino Linotype" w:hAnsi="Palatino Linotype" w:cs="Arial"/>
          <w:sz w:val="24"/>
          <w:szCs w:val="24"/>
        </w:rPr>
        <w:t>s</w:t>
      </w:r>
      <w:r>
        <w:rPr>
          <w:rFonts w:ascii="Palatino Linotype" w:hAnsi="Palatino Linotype" w:cs="Arial"/>
          <w:sz w:val="24"/>
          <w:szCs w:val="24"/>
        </w:rPr>
        <w:t xml:space="preserve">olicitudes que hagan los particulares. Robustece lo anterior la siguiente imagen ilustrativa: </w:t>
      </w:r>
    </w:p>
    <w:p w14:paraId="5B321F7D" w14:textId="16896603" w:rsidR="0035578B" w:rsidRDefault="0091304D"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5ED1157" wp14:editId="7D0A7DCF">
            <wp:extent cx="5760720" cy="42062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06240"/>
                    </a:xfrm>
                    <a:prstGeom prst="rect">
                      <a:avLst/>
                    </a:prstGeom>
                    <a:noFill/>
                    <a:ln>
                      <a:noFill/>
                    </a:ln>
                  </pic:spPr>
                </pic:pic>
              </a:graphicData>
            </a:graphic>
          </wp:inline>
        </w:drawing>
      </w:r>
    </w:p>
    <w:p w14:paraId="63254B74" w14:textId="52BD7823" w:rsidR="0035578B" w:rsidRDefault="0035578B" w:rsidP="004D073F">
      <w:pPr>
        <w:spacing w:before="240" w:line="360" w:lineRule="auto"/>
        <w:jc w:val="both"/>
        <w:rPr>
          <w:rFonts w:ascii="Palatino Linotype" w:hAnsi="Palatino Linotype" w:cs="Arial"/>
          <w:sz w:val="24"/>
          <w:szCs w:val="24"/>
        </w:rPr>
      </w:pP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371358E2" w14:textId="5BEA968F" w:rsidR="0035578B" w:rsidRPr="0035578B"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35578B">
        <w:rPr>
          <w:rFonts w:ascii="Palatino Linotype" w:hAnsi="Palatino Linotype" w:cs="Arial"/>
          <w:sz w:val="24"/>
          <w:szCs w:val="24"/>
        </w:rPr>
        <w:t xml:space="preserve">nueve de julio del año en curso, el cual fue registrado con el expediente número </w:t>
      </w:r>
      <w:r w:rsidR="0035578B">
        <w:rPr>
          <w:rFonts w:ascii="Palatino Linotype" w:hAnsi="Palatino Linotype" w:cs="Arial"/>
          <w:b/>
          <w:sz w:val="24"/>
          <w:szCs w:val="24"/>
        </w:rPr>
        <w:t xml:space="preserve">02565/INFOEM/IP/RR/2018, </w:t>
      </w:r>
      <w:r w:rsidR="0035578B">
        <w:rPr>
          <w:rFonts w:ascii="Palatino Linotype" w:hAnsi="Palatino Linotype" w:cs="Arial"/>
          <w:sz w:val="24"/>
          <w:szCs w:val="24"/>
        </w:rPr>
        <w:t xml:space="preserve">en el cual arguye, las siguientes manifestaciones: </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2030C828" w:rsidR="006168E4" w:rsidRPr="00AA4738" w:rsidRDefault="00053099" w:rsidP="00AE3CCC">
      <w:pPr>
        <w:spacing w:line="360" w:lineRule="auto"/>
        <w:ind w:left="851" w:right="851"/>
        <w:jc w:val="both"/>
        <w:rPr>
          <w:rFonts w:ascii="Palatino Linotype" w:hAnsi="Palatino Linotype" w:cs="Arial"/>
          <w:b/>
          <w:i/>
        </w:rPr>
      </w:pPr>
      <w:r w:rsidRPr="0035578B">
        <w:rPr>
          <w:rFonts w:ascii="Palatino Linotype" w:hAnsi="Palatino Linotype" w:cs="Arial"/>
          <w:i/>
        </w:rPr>
        <w:t xml:space="preserve"> </w:t>
      </w:r>
      <w:r w:rsidR="006168E4" w:rsidRPr="0035578B">
        <w:rPr>
          <w:rFonts w:ascii="Palatino Linotype" w:hAnsi="Palatino Linotype" w:cs="Arial"/>
          <w:i/>
        </w:rPr>
        <w:t>“</w:t>
      </w:r>
      <w:r w:rsidR="0035578B" w:rsidRPr="0035578B">
        <w:rPr>
          <w:rFonts w:ascii="Palatino Linotype" w:hAnsi="Palatino Linotype"/>
          <w:i/>
          <w:color w:val="000000"/>
        </w:rPr>
        <w:t>¿Cantidad total de recursos asignados para la campaña en el distrito 1 federal del estado de México? Desglose de los gastos de la campaña del distrito 1 federal hasta el día 5/06/2018. ¿Cantidad total de recursos asignados para la campaña del municipio de Villa del Carbón, estado de México? Desglose de los gastos de la campaña del municipio de Villa del Carbón hasta el día 5/06/2018.</w:t>
      </w:r>
      <w:r w:rsidR="006168E4" w:rsidRPr="0035578B">
        <w:rPr>
          <w:rFonts w:ascii="Palatino Linotype" w:hAnsi="Palatino Linotype" w:cs="Arial"/>
          <w:i/>
        </w:rPr>
        <w:t>”</w:t>
      </w:r>
      <w:r w:rsidRPr="00AA4738">
        <w:rPr>
          <w:rFonts w:ascii="Palatino Linotype" w:hAnsi="Palatino Linotype" w:cs="Arial"/>
          <w:i/>
        </w:rPr>
        <w:t xml:space="preserve"> </w:t>
      </w:r>
      <w:r w:rsidRPr="00AA4738">
        <w:rPr>
          <w:rFonts w:ascii="Palatino Linotype" w:hAnsi="Palatino Linotype" w:cs="Arial"/>
          <w:b/>
          <w:i/>
        </w:rPr>
        <w:t>[S</w:t>
      </w:r>
      <w:r w:rsidR="006168E4" w:rsidRPr="00AA4738">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62516D07" w:rsidR="00053099" w:rsidRPr="00AA4738" w:rsidRDefault="00053099" w:rsidP="004447EE">
      <w:pPr>
        <w:spacing w:before="240" w:line="360" w:lineRule="auto"/>
        <w:ind w:left="851" w:right="851"/>
        <w:jc w:val="both"/>
        <w:rPr>
          <w:rFonts w:ascii="Palatino Linotype" w:hAnsi="Palatino Linotype" w:cs="Arial"/>
          <w:i/>
        </w:rPr>
      </w:pPr>
      <w:r w:rsidRPr="0035578B">
        <w:rPr>
          <w:rFonts w:ascii="Palatino Linotype" w:hAnsi="Palatino Linotype" w:cs="Arial"/>
          <w:i/>
        </w:rPr>
        <w:t>“</w:t>
      </w:r>
      <w:r w:rsidR="0035578B" w:rsidRPr="0035578B">
        <w:rPr>
          <w:rFonts w:ascii="Palatino Linotype" w:hAnsi="Palatino Linotype"/>
          <w:i/>
          <w:color w:val="000000"/>
        </w:rPr>
        <w:t>Termino el plazo para la entrega de la información y aun no lo realizan.</w:t>
      </w:r>
      <w:r w:rsidR="004447EE" w:rsidRPr="0035578B">
        <w:rPr>
          <w:rFonts w:ascii="Palatino Linotype" w:eastAsia="Times New Roman" w:hAnsi="Palatino Linotype" w:cs="Times New Roman"/>
          <w:i/>
          <w:lang w:eastAsia="es-MX"/>
        </w:rPr>
        <w:t>”</w:t>
      </w:r>
      <w:r w:rsidR="004447EE" w:rsidRPr="00AA4738">
        <w:rPr>
          <w:rFonts w:ascii="Palatino Linotype" w:eastAsia="Times New Roman" w:hAnsi="Palatino Linotype" w:cs="Times New Roman"/>
          <w:i/>
          <w:lang w:eastAsia="es-MX"/>
        </w:rPr>
        <w:t xml:space="preserve"> </w:t>
      </w:r>
      <w:r w:rsidRPr="00AA4738">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457D8842"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trece de julio de los </w:t>
      </w:r>
      <w:r w:rsidR="00353FDC">
        <w:rPr>
          <w:rFonts w:ascii="Palatino Linotype" w:hAnsi="Palatino Linotype" w:cs="Arial"/>
          <w:sz w:val="24"/>
          <w:szCs w:val="24"/>
        </w:rPr>
        <w:lastRenderedPageBreak/>
        <w:t>corrientes determinándose en él, un plazo de siete días para que las partes manifestaran lo que a su derecho corresponda en términos del numeral ya citado.</w:t>
      </w:r>
    </w:p>
    <w:p w14:paraId="61D1B72A" w14:textId="77777777" w:rsidR="00353FDC" w:rsidRDefault="00353FDC"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62B15F5" w14:textId="71D27645" w:rsidR="00D51568" w:rsidRDefault="00AD3BA3" w:rsidP="00D5156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8960" behindDoc="0" locked="0" layoutInCell="1" allowOverlap="1" wp14:anchorId="1FD195B5" wp14:editId="1872F0C4">
            <wp:simplePos x="0" y="0"/>
            <wp:positionH relativeFrom="page">
              <wp:align>center</wp:align>
            </wp:positionH>
            <wp:positionV relativeFrom="paragraph">
              <wp:posOffset>1632585</wp:posOffset>
            </wp:positionV>
            <wp:extent cx="5753100" cy="3581400"/>
            <wp:effectExtent l="19050" t="19050" r="19050" b="19050"/>
            <wp:wrapThrough wrapText="bothSides">
              <wp:wrapPolygon edited="0">
                <wp:start x="-72" y="-115"/>
                <wp:lineTo x="-72" y="21600"/>
                <wp:lineTo x="21600" y="21600"/>
                <wp:lineTo x="21600" y="-115"/>
                <wp:lineTo x="-72" y="-115"/>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81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51568" w:rsidRPr="00D05C83">
        <w:rPr>
          <w:rFonts w:ascii="Palatino Linotype" w:hAnsi="Palatino Linotype" w:cs="Arial"/>
          <w:sz w:val="24"/>
          <w:szCs w:val="24"/>
        </w:rPr>
        <w:t>Así, una vez transcurr</w:t>
      </w:r>
      <w:r w:rsidR="00D51568">
        <w:rPr>
          <w:rFonts w:ascii="Palatino Linotype" w:hAnsi="Palatino Linotype" w:cs="Arial"/>
          <w:sz w:val="24"/>
          <w:szCs w:val="24"/>
        </w:rPr>
        <w:t xml:space="preserve">ido el término legal referido,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sirve de sustento la siguiente imagen ilustrativa: </w:t>
      </w:r>
    </w:p>
    <w:p w14:paraId="53F1356F" w14:textId="723EE48A" w:rsidR="00AD3BA3" w:rsidRDefault="00AD3BA3" w:rsidP="00D51568">
      <w:pPr>
        <w:spacing w:before="240" w:line="360" w:lineRule="auto"/>
        <w:jc w:val="both"/>
        <w:rPr>
          <w:rFonts w:ascii="Palatino Linotype" w:hAnsi="Palatino Linotype" w:cs="Arial"/>
          <w:sz w:val="24"/>
          <w:szCs w:val="24"/>
        </w:rPr>
      </w:pPr>
    </w:p>
    <w:p w14:paraId="7D9E3296" w14:textId="12C8F17F" w:rsidR="0052678C" w:rsidRDefault="0052678C" w:rsidP="0052678C">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lastRenderedPageBreak/>
        <w:t xml:space="preserve">Así, </w:t>
      </w:r>
      <w:r w:rsidRPr="00D54F2B">
        <w:rPr>
          <w:rFonts w:ascii="Palatino Linotype" w:hAnsi="Palatino Linotype" w:cs="Arial"/>
          <w:sz w:val="24"/>
          <w:szCs w:val="24"/>
        </w:rPr>
        <w:t xml:space="preserve">en fecha </w:t>
      </w:r>
      <w:r w:rsidR="00F01E46" w:rsidRPr="00D54F2B">
        <w:rPr>
          <w:rFonts w:ascii="Palatino Linotype" w:hAnsi="Palatino Linotype" w:cs="Arial"/>
          <w:sz w:val="24"/>
          <w:szCs w:val="24"/>
        </w:rPr>
        <w:t>seis</w:t>
      </w:r>
      <w:r w:rsidRPr="00D54F2B">
        <w:rPr>
          <w:rFonts w:ascii="Palatino Linotype" w:hAnsi="Palatino Linotype" w:cs="Arial"/>
          <w:sz w:val="24"/>
          <w:szCs w:val="24"/>
        </w:rPr>
        <w:t xml:space="preserve"> de septiembre del presente,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775F8AA5" w14:textId="77777777" w:rsidR="0052678C" w:rsidRPr="00CD7669" w:rsidRDefault="0052678C" w:rsidP="0052678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590D9667"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AD3BA3">
        <w:rPr>
          <w:rFonts w:ascii="Palatino Linotype" w:hAnsi="Palatino Linotype" w:cs="Arial"/>
          <w:b/>
          <w:sz w:val="24"/>
        </w:rPr>
        <w:t>El</w:t>
      </w:r>
      <w:r w:rsidR="009A18AC">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A91068A" w14:textId="7E1FC485"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noProof/>
          <w:sz w:val="28"/>
          <w:lang w:val="es-MX" w:eastAsia="es-MX"/>
        </w:rPr>
        <mc:AlternateContent>
          <mc:Choice Requires="wps">
            <w:drawing>
              <wp:anchor distT="0" distB="0" distL="114300" distR="114300" simplePos="0" relativeHeight="251700224" behindDoc="0" locked="0" layoutInCell="1" allowOverlap="1" wp14:anchorId="23C322AC" wp14:editId="7134FF38">
                <wp:simplePos x="0" y="0"/>
                <wp:positionH relativeFrom="column">
                  <wp:posOffset>-312384</wp:posOffset>
                </wp:positionH>
                <wp:positionV relativeFrom="paragraph">
                  <wp:posOffset>13322</wp:posOffset>
                </wp:positionV>
                <wp:extent cx="6702724" cy="1604513"/>
                <wp:effectExtent l="0" t="0" r="22225" b="34290"/>
                <wp:wrapNone/>
                <wp:docPr id="8" name="Conector recto 8"/>
                <wp:cNvGraphicFramePr/>
                <a:graphic xmlns:a="http://schemas.openxmlformats.org/drawingml/2006/main">
                  <a:graphicData uri="http://schemas.microsoft.com/office/word/2010/wordprocessingShape">
                    <wps:wsp>
                      <wps:cNvCnPr/>
                      <wps:spPr>
                        <a:xfrm>
                          <a:off x="0" y="0"/>
                          <a:ext cx="6702724" cy="1604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CE6F" id="Conector recto 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6pt,1.05pt" to="503.15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" strokecolor="#5b9bd5 [3204]" strokeweight=".5pt">
                <v:stroke joinstyle="miter"/>
              </v:line>
            </w:pict>
          </mc:Fallback>
        </mc:AlternateContent>
      </w:r>
    </w:p>
    <w:p w14:paraId="38B4BD04" w14:textId="7777777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C416FA" w14:textId="7777777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lastRenderedPageBreak/>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2C1DF16C"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94FD544" w14:textId="77777777" w:rsidR="00AD3BA3" w:rsidRDefault="00AD3BA3" w:rsidP="00B36B67">
      <w:pPr>
        <w:pStyle w:val="Prrafodelista"/>
        <w:autoSpaceDE w:val="0"/>
        <w:autoSpaceDN w:val="0"/>
        <w:adjustRightInd w:val="0"/>
        <w:spacing w:line="360" w:lineRule="auto"/>
        <w:ind w:left="0"/>
        <w:jc w:val="both"/>
        <w:rPr>
          <w:rFonts w:ascii="Palatino Linotype" w:hAnsi="Palatino Linotype" w:cs="Arial"/>
        </w:rPr>
      </w:pPr>
    </w:p>
    <w:p w14:paraId="64471462" w14:textId="02853847" w:rsidR="00B36B67"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 xml:space="preserve">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Pr>
          <w:rFonts w:ascii="Palatino Linotype" w:hAnsi="Palatino Linotype" w:cs="Arial"/>
        </w:rPr>
        <w:t>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36B67">
        <w:rPr>
          <w:rFonts w:ascii="Palatino Linotype" w:hAnsi="Palatino Linotype" w:cs="Arial"/>
        </w:rPr>
        <w:t xml:space="preserve"> </w:t>
      </w:r>
    </w:p>
    <w:p w14:paraId="1E7196B9" w14:textId="77777777" w:rsidR="00B36B67" w:rsidRDefault="00B36B67" w:rsidP="00B36B67">
      <w:pPr>
        <w:pStyle w:val="Prrafodelista"/>
        <w:autoSpaceDE w:val="0"/>
        <w:autoSpaceDN w:val="0"/>
        <w:adjustRightInd w:val="0"/>
        <w:spacing w:line="360" w:lineRule="auto"/>
        <w:ind w:left="0"/>
        <w:jc w:val="both"/>
        <w:rPr>
          <w:rFonts w:ascii="Palatino Linotype" w:hAnsi="Palatino Linotype" w:cs="Arial"/>
        </w:rPr>
      </w:pPr>
    </w:p>
    <w:p w14:paraId="7C7FB5AE" w14:textId="69C4E57E" w:rsidR="00D51568"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A69D623" w14:textId="15E5CE0B" w:rsidR="00D51568" w:rsidRDefault="00D51568" w:rsidP="00D51568">
      <w:pPr>
        <w:tabs>
          <w:tab w:val="left" w:pos="709"/>
        </w:tabs>
        <w:spacing w:before="240" w:line="360" w:lineRule="auto"/>
        <w:ind w:right="51"/>
        <w:jc w:val="both"/>
        <w:rPr>
          <w:rFonts w:ascii="Palatino Linotype" w:hAnsi="Palatino Linotype"/>
          <w:sz w:val="24"/>
          <w:szCs w:val="24"/>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5A2DD953"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3FFC86D" w14:textId="40E4B550" w:rsidR="000A5BD5" w:rsidRPr="000A5BD5" w:rsidRDefault="000A5BD5" w:rsidP="00D5156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este tenor, de forma objetiva al desentrañar</w:t>
      </w:r>
      <w:r w:rsidR="00D51568">
        <w:rPr>
          <w:rFonts w:ascii="Palatino Linotype" w:hAnsi="Palatino Linotype"/>
          <w:sz w:val="24"/>
          <w:szCs w:val="24"/>
        </w:rPr>
        <w:t xml:space="preserve"> la solicitud de información </w:t>
      </w:r>
      <w:r w:rsidR="00B85A40">
        <w:rPr>
          <w:rFonts w:ascii="Palatino Linotype" w:hAnsi="Palatino Linotype"/>
          <w:b/>
          <w:sz w:val="24"/>
          <w:szCs w:val="24"/>
        </w:rPr>
        <w:t>00048/PMOR</w:t>
      </w:r>
      <w:r w:rsidR="00D51568">
        <w:rPr>
          <w:rFonts w:ascii="Palatino Linotype" w:hAnsi="Palatino Linotype"/>
          <w:b/>
          <w:sz w:val="24"/>
          <w:szCs w:val="24"/>
        </w:rPr>
        <w:t>/IP/2018</w:t>
      </w:r>
      <w:r>
        <w:rPr>
          <w:rFonts w:ascii="Palatino Linotype" w:hAnsi="Palatino Linotype"/>
          <w:b/>
          <w:sz w:val="24"/>
          <w:szCs w:val="24"/>
        </w:rPr>
        <w:t xml:space="preserve"> </w:t>
      </w:r>
      <w:r>
        <w:rPr>
          <w:rFonts w:ascii="Palatino Linotype" w:hAnsi="Palatino Linotype"/>
          <w:sz w:val="24"/>
          <w:szCs w:val="24"/>
        </w:rPr>
        <w:t xml:space="preserve">podemos identificar que </w:t>
      </w:r>
      <w:r>
        <w:rPr>
          <w:rFonts w:ascii="Palatino Linotype" w:hAnsi="Palatino Linotype"/>
          <w:b/>
          <w:sz w:val="24"/>
          <w:szCs w:val="24"/>
        </w:rPr>
        <w:t xml:space="preserve">El Recurrente </w:t>
      </w:r>
      <w:r>
        <w:rPr>
          <w:rFonts w:ascii="Palatino Linotype" w:hAnsi="Palatino Linotype"/>
          <w:sz w:val="24"/>
          <w:szCs w:val="24"/>
        </w:rPr>
        <w:t xml:space="preserve">peticiona el o los documentos, donde conste lo siguiente: </w:t>
      </w:r>
    </w:p>
    <w:p w14:paraId="7661CE99" w14:textId="69E426E0" w:rsidR="00873D6E" w:rsidRDefault="00B85A40"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Cantidad total de recursos asignados para la campaña </w:t>
      </w:r>
      <w:r w:rsidR="008F4C93">
        <w:rPr>
          <w:rFonts w:ascii="Palatino Linotype" w:hAnsi="Palatino Linotype" w:cs="Arial"/>
        </w:rPr>
        <w:t xml:space="preserve"> </w:t>
      </w:r>
      <w:r>
        <w:rPr>
          <w:rFonts w:ascii="Palatino Linotype" w:hAnsi="Palatino Linotype" w:cs="Arial"/>
        </w:rPr>
        <w:t xml:space="preserve">en el distrito 1 federal del Estado de México. </w:t>
      </w:r>
    </w:p>
    <w:p w14:paraId="170BD83A" w14:textId="4BAA9F77" w:rsidR="00B85A40" w:rsidRDefault="00B85A40"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Desglose de gastos de la campaña del distrito 1 federal, al cinco de junio de dos mil dieciocho. </w:t>
      </w:r>
    </w:p>
    <w:p w14:paraId="3B23135D" w14:textId="6890647F" w:rsidR="00B85A40" w:rsidRDefault="00B85A40"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Cantidad total de recursos asignados para la campaña en el municipio de Villa del Carbón.</w:t>
      </w:r>
    </w:p>
    <w:p w14:paraId="2D5D1F8E" w14:textId="3ADD8A84" w:rsidR="00B85A40" w:rsidRPr="005A0B6E" w:rsidRDefault="00B85A40" w:rsidP="00873D6E">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Desglose de gastos de la campaña del municipio de Villa del Carbón, al cinco de junio de dos mil dieciocho. </w:t>
      </w:r>
    </w:p>
    <w:p w14:paraId="2BF73A1E" w14:textId="72AE8EF3" w:rsidR="00D51568" w:rsidRPr="004F2DD4" w:rsidRDefault="00D51568" w:rsidP="005A0B6E">
      <w:pPr>
        <w:pStyle w:val="Prrafodelista"/>
        <w:tabs>
          <w:tab w:val="left" w:pos="709"/>
        </w:tabs>
        <w:spacing w:before="240" w:line="360" w:lineRule="auto"/>
        <w:ind w:left="780" w:right="51"/>
        <w:jc w:val="both"/>
        <w:rPr>
          <w:rFonts w:ascii="Palatino Linotype" w:hAnsi="Palatino Linotype"/>
        </w:rPr>
      </w:pPr>
    </w:p>
    <w:p w14:paraId="600401D8" w14:textId="08B9ABB3"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sidR="00B85A40">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6842B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0BA4145" w14:textId="77777777" w:rsidR="005F28FD" w:rsidRDefault="005F28FD" w:rsidP="000A5BD5">
      <w:pPr>
        <w:pStyle w:val="Prrafodelista"/>
        <w:autoSpaceDE w:val="0"/>
        <w:autoSpaceDN w:val="0"/>
        <w:adjustRightInd w:val="0"/>
        <w:spacing w:before="240" w:after="160" w:line="360" w:lineRule="auto"/>
        <w:ind w:left="0"/>
        <w:jc w:val="both"/>
        <w:rPr>
          <w:rFonts w:ascii="Palatino Linotype" w:hAnsi="Palatino Linotype" w:cs="Arial"/>
          <w:highlight w:val="yellow"/>
        </w:rPr>
      </w:pPr>
    </w:p>
    <w:p w14:paraId="1C8F5547" w14:textId="3D4B9CC3"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cs="Arial"/>
          <w:b/>
        </w:rPr>
      </w:pPr>
      <w:r w:rsidRPr="005F28FD">
        <w:rPr>
          <w:rFonts w:ascii="Palatino Linotype" w:hAnsi="Palatino Linotype" w:cs="Arial"/>
        </w:rPr>
        <w:t>En este tenor,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los expedientes electrónicos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sidR="00521689">
        <w:rPr>
          <w:rFonts w:ascii="Palatino Linotype" w:hAnsi="Palatino Linotype" w:cs="Arial"/>
        </w:rPr>
        <w:t>fue omiso en responder la solicitud de información hecha</w:t>
      </w:r>
      <w:r>
        <w:rPr>
          <w:rFonts w:ascii="Palatino Linotype" w:hAnsi="Palatino Linotype" w:cs="Arial"/>
        </w:rPr>
        <w:t xml:space="preserve">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741DC" w14:textId="09CF9828" w:rsidR="000A5BD5" w:rsidRPr="007070C6"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sidR="00521689">
        <w:rPr>
          <w:rFonts w:ascii="Palatino Linotype" w:hAnsi="Palatino Linotype" w:cs="Arial"/>
        </w:rPr>
        <w:t>en su</w:t>
      </w:r>
      <w:r w:rsidRPr="007070C6">
        <w:rPr>
          <w:rFonts w:ascii="Palatino Linotype" w:hAnsi="Palatino Linotype" w:cs="Arial"/>
        </w:rPr>
        <w:t xml:space="preserve"> so</w:t>
      </w:r>
      <w:r w:rsidR="00521689">
        <w:rPr>
          <w:rFonts w:ascii="Palatino Linotype" w:hAnsi="Palatino Linotype" w:cs="Arial"/>
        </w:rPr>
        <w:t>licitud</w:t>
      </w:r>
      <w:r w:rsidRPr="007070C6">
        <w:rPr>
          <w:rFonts w:ascii="Palatino Linotype" w:hAnsi="Palatino Linotype" w:cs="Arial"/>
        </w:rPr>
        <w:t xml:space="preserve"> de informació</w:t>
      </w:r>
      <w:r w:rsidR="00521689">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7430A2AB" w14:textId="749F7A87" w:rsidR="001372F1" w:rsidRPr="001372F1" w:rsidRDefault="00521689" w:rsidP="001372F1">
      <w:pPr>
        <w:tabs>
          <w:tab w:val="left" w:pos="709"/>
        </w:tabs>
        <w:spacing w:before="240" w:line="360" w:lineRule="auto"/>
        <w:ind w:right="51"/>
        <w:jc w:val="both"/>
        <w:rPr>
          <w:rFonts w:ascii="Palatino Linotype" w:hAnsi="Palatino Linotype"/>
          <w:sz w:val="24"/>
          <w:szCs w:val="24"/>
        </w:rPr>
      </w:pPr>
      <w:r w:rsidRPr="001372F1">
        <w:rPr>
          <w:rFonts w:ascii="Palatino Linotype" w:hAnsi="Palatino Linotype" w:cs="Arial"/>
          <w:sz w:val="24"/>
          <w:szCs w:val="24"/>
        </w:rPr>
        <w:lastRenderedPageBreak/>
        <w:t xml:space="preserve">Una vez sentado lo anterior, </w:t>
      </w:r>
      <w:r w:rsidR="00365384" w:rsidRPr="001372F1">
        <w:rPr>
          <w:rFonts w:ascii="Palatino Linotype" w:hAnsi="Palatino Linotype" w:cs="Arial"/>
          <w:sz w:val="24"/>
          <w:szCs w:val="24"/>
        </w:rPr>
        <w:t>en una aproximación inicial es posible advertir que</w:t>
      </w:r>
      <w:r w:rsidR="005318CA">
        <w:rPr>
          <w:rFonts w:ascii="Palatino Linotype" w:hAnsi="Palatino Linotype" w:cs="Arial"/>
          <w:sz w:val="24"/>
          <w:szCs w:val="24"/>
        </w:rPr>
        <w:t xml:space="preserve"> en la solicitud de información </w:t>
      </w:r>
      <w:r w:rsidR="005318CA">
        <w:rPr>
          <w:rFonts w:ascii="Palatino Linotype" w:hAnsi="Palatino Linotype" w:cs="Arial"/>
          <w:b/>
          <w:sz w:val="24"/>
          <w:szCs w:val="24"/>
        </w:rPr>
        <w:t xml:space="preserve">00048/PMOR/IP/2018, El Recurrente </w:t>
      </w:r>
      <w:r w:rsidR="005318CA">
        <w:rPr>
          <w:rFonts w:ascii="Palatino Linotype" w:hAnsi="Palatino Linotype" w:cs="Arial"/>
          <w:sz w:val="24"/>
          <w:szCs w:val="24"/>
        </w:rPr>
        <w:t xml:space="preserve">se limitó a señalar: </w:t>
      </w:r>
      <w:r w:rsidR="005318CA">
        <w:rPr>
          <w:rFonts w:ascii="Palatino Linotype" w:hAnsi="Palatino Linotype" w:cs="Arial"/>
          <w:i/>
          <w:sz w:val="24"/>
          <w:szCs w:val="24"/>
        </w:rPr>
        <w:t xml:space="preserve">“para la campaña…”. </w:t>
      </w:r>
      <w:r w:rsidR="005318CA">
        <w:rPr>
          <w:rFonts w:ascii="Palatino Linotype" w:hAnsi="Palatino Linotype" w:cs="Arial"/>
          <w:sz w:val="24"/>
          <w:szCs w:val="24"/>
        </w:rPr>
        <w:t xml:space="preserve">En este tenor, para mejor proveer a la presente resolución, este Instituto determina que la solicitud de información se constriñe al proceso electoral 2017-2018, lo anterior con fundamento en los </w:t>
      </w:r>
      <w:r w:rsidR="001372F1" w:rsidRPr="001372F1">
        <w:rPr>
          <w:rFonts w:ascii="Palatino Linotype" w:hAnsi="Palatino Linotype"/>
          <w:sz w:val="24"/>
          <w:szCs w:val="24"/>
        </w:rPr>
        <w:t xml:space="preserve">artículos 13 y 181 cuarto párrafo de la Ley en materia, los cuales a la letra rezan: </w:t>
      </w:r>
    </w:p>
    <w:p w14:paraId="08DD5F81" w14:textId="77777777" w:rsidR="001372F1" w:rsidRPr="009878C2" w:rsidRDefault="001372F1" w:rsidP="001372F1">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FA58233" w14:textId="77777777" w:rsidR="001372F1" w:rsidRPr="009878C2" w:rsidRDefault="001372F1" w:rsidP="001372F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7B80AA0D" w14:textId="77777777" w:rsidR="001372F1" w:rsidRPr="009878C2" w:rsidRDefault="001372F1" w:rsidP="001372F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52C8DFF" w14:textId="77777777" w:rsidR="005318CA" w:rsidRDefault="005318CA"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1208B886" w14:textId="6FA5F009" w:rsidR="001372F1" w:rsidRDefault="001372F1"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Ahora bien, por su estrecha relación se procede a analizar de manera conjunta los numerales </w:t>
      </w:r>
      <w:r>
        <w:rPr>
          <w:rFonts w:ascii="Palatino Linotype" w:hAnsi="Palatino Linotype" w:cs="Arial"/>
          <w:b/>
        </w:rPr>
        <w:t xml:space="preserve">1 </w:t>
      </w:r>
      <w:r>
        <w:rPr>
          <w:rFonts w:ascii="Palatino Linotype" w:hAnsi="Palatino Linotype" w:cs="Arial"/>
        </w:rPr>
        <w:t xml:space="preserve">y </w:t>
      </w:r>
      <w:r>
        <w:rPr>
          <w:rFonts w:ascii="Palatino Linotype" w:hAnsi="Palatino Linotype" w:cs="Arial"/>
          <w:b/>
        </w:rPr>
        <w:t xml:space="preserve">2 </w:t>
      </w:r>
      <w:r>
        <w:rPr>
          <w:rFonts w:ascii="Palatino Linotype" w:hAnsi="Palatino Linotype" w:cs="Arial"/>
        </w:rPr>
        <w:t xml:space="preserve">mediante los cuales se solicita la cantidad total de recursos asignados </w:t>
      </w:r>
      <w:r w:rsidR="005318CA">
        <w:rPr>
          <w:rFonts w:ascii="Palatino Linotype" w:hAnsi="Palatino Linotype" w:cs="Arial"/>
        </w:rPr>
        <w:t xml:space="preserve">en el proceso electoral 2017-2018 para la campaña en el distrito  </w:t>
      </w:r>
      <w:r w:rsidR="00590D02">
        <w:rPr>
          <w:rFonts w:ascii="Palatino Linotype" w:hAnsi="Palatino Linotype" w:cs="Arial"/>
        </w:rPr>
        <w:t xml:space="preserve">electoral </w:t>
      </w:r>
      <w:r w:rsidR="005318CA">
        <w:rPr>
          <w:rFonts w:ascii="Palatino Linotype" w:hAnsi="Palatino Linotype" w:cs="Arial"/>
        </w:rPr>
        <w:t xml:space="preserve">federal </w:t>
      </w:r>
      <w:r w:rsidR="00590D02">
        <w:rPr>
          <w:rFonts w:ascii="Palatino Linotype" w:hAnsi="Palatino Linotype" w:cs="Arial"/>
        </w:rPr>
        <w:t xml:space="preserve">1 </w:t>
      </w:r>
      <w:r w:rsidR="005318CA">
        <w:rPr>
          <w:rFonts w:ascii="Palatino Linotype" w:hAnsi="Palatino Linotype" w:cs="Arial"/>
        </w:rPr>
        <w:t xml:space="preserve">del Estado de México, así como el </w:t>
      </w:r>
      <w:r>
        <w:rPr>
          <w:rFonts w:ascii="Palatino Linotype" w:hAnsi="Palatino Linotype" w:cs="Arial"/>
        </w:rPr>
        <w:t xml:space="preserve">desglose de gastos, </w:t>
      </w:r>
      <w:r w:rsidR="005318CA">
        <w:rPr>
          <w:rFonts w:ascii="Palatino Linotype" w:hAnsi="Palatino Linotype" w:cs="Arial"/>
        </w:rPr>
        <w:t xml:space="preserve">este último </w:t>
      </w:r>
      <w:r>
        <w:rPr>
          <w:rFonts w:ascii="Palatino Linotype" w:hAnsi="Palatino Linotype" w:cs="Arial"/>
        </w:rPr>
        <w:t xml:space="preserve">al cinco de junio de dos mil dieciocho. </w:t>
      </w:r>
    </w:p>
    <w:p w14:paraId="10C0D445" w14:textId="6E5C8D23" w:rsidR="005F28FD" w:rsidRDefault="005F28FD" w:rsidP="00D51568">
      <w:pPr>
        <w:pStyle w:val="Prrafodelista"/>
        <w:autoSpaceDE w:val="0"/>
        <w:autoSpaceDN w:val="0"/>
        <w:adjustRightInd w:val="0"/>
        <w:spacing w:before="240" w:after="160" w:line="360" w:lineRule="auto"/>
        <w:ind w:left="0"/>
        <w:jc w:val="both"/>
        <w:rPr>
          <w:rFonts w:ascii="Palatino Linotype" w:hAnsi="Palatino Linotype" w:cs="Arial"/>
        </w:rPr>
      </w:pPr>
      <w:r w:rsidRPr="008E7534">
        <w:rPr>
          <w:rFonts w:ascii="Palatino Linotype" w:hAnsi="Palatino Linotype" w:cs="Arial"/>
        </w:rPr>
        <w:t>Una vez sentado lo anterior, en una primera aproximación re</w:t>
      </w:r>
      <w:r>
        <w:rPr>
          <w:rFonts w:ascii="Palatino Linotype" w:hAnsi="Palatino Linotype" w:cs="Arial"/>
        </w:rPr>
        <w:t xml:space="preserve">sulta oportuno señalar que los distritos </w:t>
      </w:r>
      <w:r w:rsidR="00590D02">
        <w:rPr>
          <w:rFonts w:ascii="Palatino Linotype" w:hAnsi="Palatino Linotype" w:cs="Arial"/>
        </w:rPr>
        <w:t xml:space="preserve">electorales </w:t>
      </w:r>
      <w:r>
        <w:rPr>
          <w:rFonts w:ascii="Palatino Linotype" w:hAnsi="Palatino Linotype" w:cs="Arial"/>
        </w:rPr>
        <w:t xml:space="preserve">federales fungen como unidades de división territorial en materia electoral, asimismo, resulta competencia del Instituto Nacional Electoral </w:t>
      </w:r>
      <w:r>
        <w:rPr>
          <w:rFonts w:ascii="Palatino Linotype" w:hAnsi="Palatino Linotype" w:cs="Arial"/>
        </w:rPr>
        <w:lastRenderedPageBreak/>
        <w:t xml:space="preserve">determinar su conformación, lo anterior con fundamento en el artículo 32 </w:t>
      </w:r>
      <w:r w:rsidR="00BE4347">
        <w:rPr>
          <w:rFonts w:ascii="Palatino Linotype" w:hAnsi="Palatino Linotype" w:cs="Arial"/>
        </w:rPr>
        <w:t xml:space="preserve">numeral 1 </w:t>
      </w:r>
      <w:r>
        <w:rPr>
          <w:rFonts w:ascii="Palatino Linotype" w:hAnsi="Palatino Linotype" w:cs="Arial"/>
        </w:rPr>
        <w:t xml:space="preserve">inciso a) fracción II de la Ley General de Instituciones y Procedimientos Electorales, mismo que a la letra reza: </w:t>
      </w:r>
    </w:p>
    <w:p w14:paraId="491C25E5" w14:textId="77777777" w:rsidR="00BE4347" w:rsidRDefault="005F28FD" w:rsidP="005F28F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Pr="008E4E96">
        <w:rPr>
          <w:rFonts w:ascii="Palatino Linotype" w:hAnsi="Palatino Linotype"/>
          <w:i/>
        </w:rPr>
        <w:t xml:space="preserve">Artículo 32. </w:t>
      </w:r>
    </w:p>
    <w:p w14:paraId="5CECFDA4" w14:textId="57E6A518" w:rsidR="005F28FD" w:rsidRPr="008E4E96" w:rsidRDefault="005F28FD" w:rsidP="005F28FD">
      <w:pPr>
        <w:autoSpaceDE w:val="0"/>
        <w:autoSpaceDN w:val="0"/>
        <w:adjustRightInd w:val="0"/>
        <w:spacing w:before="240" w:line="360" w:lineRule="auto"/>
        <w:ind w:left="851" w:right="851"/>
        <w:jc w:val="both"/>
        <w:rPr>
          <w:rFonts w:ascii="Palatino Linotype" w:hAnsi="Palatino Linotype"/>
          <w:i/>
        </w:rPr>
      </w:pPr>
      <w:r w:rsidRPr="008E4E96">
        <w:rPr>
          <w:rFonts w:ascii="Palatino Linotype" w:hAnsi="Palatino Linotype"/>
          <w:i/>
        </w:rPr>
        <w:t>1. El Instituto tendrá las siguientes atribuciones:</w:t>
      </w:r>
    </w:p>
    <w:p w14:paraId="0ACB5F6A" w14:textId="77777777" w:rsidR="005F28FD" w:rsidRPr="008E4E96" w:rsidRDefault="005F28FD" w:rsidP="005F28FD">
      <w:pPr>
        <w:pStyle w:val="Prrafodelista"/>
        <w:numPr>
          <w:ilvl w:val="0"/>
          <w:numId w:val="35"/>
        </w:numPr>
        <w:autoSpaceDE w:val="0"/>
        <w:autoSpaceDN w:val="0"/>
        <w:adjustRightInd w:val="0"/>
        <w:spacing w:before="240" w:line="360" w:lineRule="auto"/>
        <w:ind w:right="851"/>
        <w:jc w:val="both"/>
        <w:rPr>
          <w:rFonts w:ascii="Palatino Linotype" w:hAnsi="Palatino Linotype"/>
          <w:b/>
          <w:i/>
          <w:sz w:val="22"/>
          <w:szCs w:val="22"/>
          <w:u w:val="single"/>
        </w:rPr>
      </w:pPr>
      <w:r w:rsidRPr="008E4E96">
        <w:rPr>
          <w:rFonts w:ascii="Palatino Linotype" w:hAnsi="Palatino Linotype"/>
          <w:b/>
          <w:i/>
          <w:sz w:val="22"/>
          <w:szCs w:val="22"/>
          <w:u w:val="single"/>
        </w:rPr>
        <w:t xml:space="preserve">Para los procesos electorales </w:t>
      </w:r>
      <w:r w:rsidRPr="00ED4C20">
        <w:rPr>
          <w:rFonts w:ascii="Palatino Linotype" w:hAnsi="Palatino Linotype"/>
          <w:b/>
          <w:i/>
          <w:sz w:val="22"/>
          <w:szCs w:val="22"/>
          <w:u w:val="single"/>
        </w:rPr>
        <w:t>federales y locales:</w:t>
      </w:r>
    </w:p>
    <w:p w14:paraId="37180906" w14:textId="77777777" w:rsidR="005F28FD" w:rsidRPr="008E4E96" w:rsidRDefault="005F28FD" w:rsidP="005F28F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301F08C4" w14:textId="4E94250A" w:rsidR="005F28FD" w:rsidRPr="008E4E96" w:rsidRDefault="005F28FD" w:rsidP="005F28FD">
      <w:pPr>
        <w:pStyle w:val="Prrafodelista"/>
        <w:autoSpaceDE w:val="0"/>
        <w:autoSpaceDN w:val="0"/>
        <w:adjustRightInd w:val="0"/>
        <w:spacing w:before="240" w:line="360" w:lineRule="auto"/>
        <w:ind w:left="851" w:right="851"/>
        <w:jc w:val="both"/>
        <w:rPr>
          <w:rFonts w:ascii="Palatino Linotype" w:hAnsi="Palatino Linotype"/>
          <w:b/>
          <w:i/>
          <w:sz w:val="22"/>
          <w:szCs w:val="22"/>
        </w:rPr>
      </w:pPr>
      <w:r w:rsidRPr="008E4E96">
        <w:rPr>
          <w:rFonts w:ascii="Palatino Linotype" w:hAnsi="Palatino Linotype"/>
          <w:b/>
          <w:i/>
          <w:sz w:val="22"/>
          <w:szCs w:val="22"/>
          <w:u w:val="single"/>
        </w:rPr>
        <w:t>II. La geografía electoral, que incluirá la determinación de los distritos electorales</w:t>
      </w:r>
      <w:r w:rsidRPr="008E4E96">
        <w:rPr>
          <w:rFonts w:ascii="Palatino Linotype" w:hAnsi="Palatino Linotype"/>
          <w:i/>
          <w:sz w:val="22"/>
          <w:szCs w:val="22"/>
        </w:rPr>
        <w:t xml:space="preserve"> y su división en secciones electorales, así como la delimitación de las circunscripciones plurinominales y el establecimiento de cabeceras;</w:t>
      </w:r>
      <w:r>
        <w:rPr>
          <w:rFonts w:ascii="Palatino Linotype" w:hAnsi="Palatino Linotype"/>
          <w:i/>
          <w:sz w:val="22"/>
          <w:szCs w:val="22"/>
        </w:rPr>
        <w:t xml:space="preserve">” </w:t>
      </w:r>
      <w:r>
        <w:rPr>
          <w:rFonts w:ascii="Palatino Linotype" w:hAnsi="Palatino Linotype"/>
          <w:b/>
          <w:i/>
          <w:sz w:val="22"/>
          <w:szCs w:val="22"/>
        </w:rPr>
        <w:t>[Sic]</w:t>
      </w:r>
    </w:p>
    <w:p w14:paraId="31A01C06" w14:textId="1B33005A" w:rsidR="005F28FD" w:rsidRPr="00A539A5" w:rsidRDefault="0052678C" w:rsidP="005F28F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lang w:eastAsia="es-MX"/>
        </w:rPr>
        <w:drawing>
          <wp:anchor distT="0" distB="0" distL="114300" distR="114300" simplePos="0" relativeHeight="251691008" behindDoc="0" locked="0" layoutInCell="1" allowOverlap="1" wp14:anchorId="06BAE6D7" wp14:editId="5C7C2EB8">
            <wp:simplePos x="0" y="0"/>
            <wp:positionH relativeFrom="page">
              <wp:align>center</wp:align>
            </wp:positionH>
            <wp:positionV relativeFrom="paragraph">
              <wp:posOffset>619772</wp:posOffset>
            </wp:positionV>
            <wp:extent cx="5743575" cy="3203575"/>
            <wp:effectExtent l="19050" t="19050" r="28575" b="15875"/>
            <wp:wrapThrough wrapText="bothSides">
              <wp:wrapPolygon edited="0">
                <wp:start x="-72" y="-128"/>
                <wp:lineTo x="-72" y="21579"/>
                <wp:lineTo x="21636" y="21579"/>
                <wp:lineTo x="21636" y="-128"/>
                <wp:lineTo x="-72" y="-12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3203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D4C20">
        <w:rPr>
          <w:rFonts w:ascii="Palatino Linotype" w:hAnsi="Palatino Linotype" w:cs="Arial"/>
          <w:sz w:val="24"/>
          <w:szCs w:val="24"/>
        </w:rPr>
        <w:t>Robustece</w:t>
      </w:r>
      <w:r w:rsidR="00EB43F8">
        <w:rPr>
          <w:rFonts w:ascii="Palatino Linotype" w:hAnsi="Palatino Linotype" w:cs="Arial"/>
          <w:sz w:val="24"/>
          <w:szCs w:val="24"/>
        </w:rPr>
        <w:t xml:space="preserve"> </w:t>
      </w:r>
      <w:r w:rsidR="005F28FD" w:rsidRPr="00A539A5">
        <w:rPr>
          <w:rFonts w:ascii="Palatino Linotype" w:hAnsi="Palatino Linotype" w:cs="Arial"/>
          <w:sz w:val="24"/>
          <w:szCs w:val="24"/>
        </w:rPr>
        <w:t xml:space="preserve">lo anterior las siguientes imágenes ilustrativas: </w:t>
      </w:r>
    </w:p>
    <w:p w14:paraId="4B8C28C0" w14:textId="77777777" w:rsidR="0052678C" w:rsidRDefault="0052678C" w:rsidP="0052678C">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70525" behindDoc="0" locked="0" layoutInCell="1" allowOverlap="1" wp14:anchorId="042257F6" wp14:editId="7365443C">
            <wp:simplePos x="0" y="0"/>
            <wp:positionH relativeFrom="page">
              <wp:align>center</wp:align>
            </wp:positionH>
            <wp:positionV relativeFrom="paragraph">
              <wp:posOffset>67346</wp:posOffset>
            </wp:positionV>
            <wp:extent cx="5753100" cy="3185795"/>
            <wp:effectExtent l="19050" t="19050" r="19050" b="14605"/>
            <wp:wrapThrough wrapText="bothSides">
              <wp:wrapPolygon edited="0">
                <wp:start x="-72" y="-129"/>
                <wp:lineTo x="-72" y="21570"/>
                <wp:lineTo x="21600" y="21570"/>
                <wp:lineTo x="21600" y="-129"/>
                <wp:lineTo x="-72" y="-12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185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95324E" w14:textId="6F9F7CB6" w:rsidR="00EB43F8" w:rsidRPr="00590D02" w:rsidRDefault="008E7534" w:rsidP="0052678C">
      <w:pPr>
        <w:autoSpaceDE w:val="0"/>
        <w:autoSpaceDN w:val="0"/>
        <w:adjustRightInd w:val="0"/>
        <w:spacing w:before="240" w:line="360" w:lineRule="auto"/>
        <w:jc w:val="both"/>
        <w:rPr>
          <w:rFonts w:ascii="Palatino Linotype" w:hAnsi="Palatino Linotype" w:cs="Arial"/>
          <w:sz w:val="24"/>
          <w:szCs w:val="24"/>
        </w:rPr>
      </w:pPr>
      <w:r w:rsidRPr="00590D02">
        <w:rPr>
          <w:rFonts w:ascii="Palatino Linotype" w:hAnsi="Palatino Linotype" w:cs="Arial"/>
          <w:sz w:val="24"/>
          <w:szCs w:val="24"/>
        </w:rPr>
        <w:t>De las imágenes previamente pl</w:t>
      </w:r>
      <w:r w:rsidR="00ED4C20" w:rsidRPr="00590D02">
        <w:rPr>
          <w:rFonts w:ascii="Palatino Linotype" w:hAnsi="Palatino Linotype" w:cs="Arial"/>
          <w:sz w:val="24"/>
          <w:szCs w:val="24"/>
        </w:rPr>
        <w:t>asmadas, es posible advertir que</w:t>
      </w:r>
      <w:r w:rsidRPr="00590D02">
        <w:rPr>
          <w:rFonts w:ascii="Palatino Linotype" w:hAnsi="Palatino Linotype" w:cs="Arial"/>
          <w:sz w:val="24"/>
          <w:szCs w:val="24"/>
        </w:rPr>
        <w:t xml:space="preserve"> </w:t>
      </w:r>
      <w:r w:rsidR="00EB43F8" w:rsidRPr="00590D02">
        <w:rPr>
          <w:rFonts w:ascii="Palatino Linotype" w:hAnsi="Palatino Linotype" w:cs="Arial"/>
          <w:sz w:val="24"/>
          <w:szCs w:val="24"/>
        </w:rPr>
        <w:t xml:space="preserve">en ejercicio de sus atribuciones el Instituto Nacional Electoral </w:t>
      </w:r>
      <w:r w:rsidR="00BE4347" w:rsidRPr="00590D02">
        <w:rPr>
          <w:rFonts w:ascii="Palatino Linotype" w:hAnsi="Palatino Linotype" w:cs="Arial"/>
          <w:sz w:val="24"/>
          <w:szCs w:val="24"/>
        </w:rPr>
        <w:t xml:space="preserve">determinó </w:t>
      </w:r>
      <w:r w:rsidR="00EB43F8" w:rsidRPr="00590D02">
        <w:rPr>
          <w:rFonts w:ascii="Palatino Linotype" w:hAnsi="Palatino Linotype" w:cs="Arial"/>
          <w:sz w:val="24"/>
          <w:szCs w:val="24"/>
        </w:rPr>
        <w:t xml:space="preserve">que los municipios de </w:t>
      </w:r>
      <w:proofErr w:type="spellStart"/>
      <w:r w:rsidR="00EB43F8" w:rsidRPr="00590D02">
        <w:rPr>
          <w:rFonts w:ascii="Palatino Linotype" w:hAnsi="Palatino Linotype" w:cs="Arial"/>
          <w:sz w:val="24"/>
          <w:szCs w:val="24"/>
        </w:rPr>
        <w:t>Acambay</w:t>
      </w:r>
      <w:proofErr w:type="spellEnd"/>
      <w:r w:rsidR="00EB43F8" w:rsidRPr="00590D02">
        <w:rPr>
          <w:rFonts w:ascii="Palatino Linotype" w:hAnsi="Palatino Linotype" w:cs="Arial"/>
          <w:sz w:val="24"/>
          <w:szCs w:val="24"/>
        </w:rPr>
        <w:t xml:space="preserve"> de </w:t>
      </w:r>
      <w:proofErr w:type="spellStart"/>
      <w:r w:rsidR="00EB43F8" w:rsidRPr="00590D02">
        <w:rPr>
          <w:rFonts w:ascii="Palatino Linotype" w:hAnsi="Palatino Linotype" w:cs="Arial"/>
          <w:sz w:val="24"/>
          <w:szCs w:val="24"/>
        </w:rPr>
        <w:t>ruiz</w:t>
      </w:r>
      <w:proofErr w:type="spellEnd"/>
      <w:r w:rsidR="00EB43F8" w:rsidRPr="00590D02">
        <w:rPr>
          <w:rFonts w:ascii="Palatino Linotype" w:hAnsi="Palatino Linotype" w:cs="Arial"/>
          <w:sz w:val="24"/>
          <w:szCs w:val="24"/>
        </w:rPr>
        <w:t xml:space="preserve"> </w:t>
      </w:r>
      <w:proofErr w:type="spellStart"/>
      <w:r w:rsidR="00EB43F8" w:rsidRPr="00590D02">
        <w:rPr>
          <w:rFonts w:ascii="Palatino Linotype" w:hAnsi="Palatino Linotype" w:cs="Arial"/>
          <w:sz w:val="24"/>
          <w:szCs w:val="24"/>
        </w:rPr>
        <w:t>castañeda</w:t>
      </w:r>
      <w:proofErr w:type="spellEnd"/>
      <w:r w:rsidR="00EB43F8" w:rsidRPr="00590D02">
        <w:rPr>
          <w:rFonts w:ascii="Palatino Linotype" w:hAnsi="Palatino Linotype" w:cs="Arial"/>
          <w:sz w:val="24"/>
          <w:szCs w:val="24"/>
        </w:rPr>
        <w:t xml:space="preserve">, Aculco, Chapa de Mota, Jilotepec, Morelos, </w:t>
      </w:r>
      <w:proofErr w:type="spellStart"/>
      <w:r w:rsidR="00EB43F8" w:rsidRPr="00590D02">
        <w:rPr>
          <w:rFonts w:ascii="Palatino Linotype" w:hAnsi="Palatino Linotype" w:cs="Arial"/>
          <w:sz w:val="24"/>
          <w:szCs w:val="24"/>
        </w:rPr>
        <w:t>Polititlán</w:t>
      </w:r>
      <w:proofErr w:type="spellEnd"/>
      <w:r w:rsidR="00EB43F8" w:rsidRPr="00590D02">
        <w:rPr>
          <w:rFonts w:ascii="Palatino Linotype" w:hAnsi="Palatino Linotype" w:cs="Arial"/>
          <w:sz w:val="24"/>
          <w:szCs w:val="24"/>
        </w:rPr>
        <w:t xml:space="preserve">, </w:t>
      </w:r>
      <w:proofErr w:type="spellStart"/>
      <w:r w:rsidR="00EB43F8" w:rsidRPr="00590D02">
        <w:rPr>
          <w:rFonts w:ascii="Palatino Linotype" w:hAnsi="Palatino Linotype" w:cs="Arial"/>
          <w:sz w:val="24"/>
          <w:szCs w:val="24"/>
        </w:rPr>
        <w:t>Soyaniquilpan</w:t>
      </w:r>
      <w:proofErr w:type="spellEnd"/>
      <w:r w:rsidR="00EB43F8" w:rsidRPr="00590D02">
        <w:rPr>
          <w:rFonts w:ascii="Palatino Linotype" w:hAnsi="Palatino Linotype" w:cs="Arial"/>
          <w:sz w:val="24"/>
          <w:szCs w:val="24"/>
        </w:rPr>
        <w:t xml:space="preserve"> de Juárez, </w:t>
      </w:r>
      <w:proofErr w:type="spellStart"/>
      <w:r w:rsidR="00EB43F8" w:rsidRPr="00590D02">
        <w:rPr>
          <w:rFonts w:ascii="Palatino Linotype" w:hAnsi="Palatino Linotype" w:cs="Arial"/>
          <w:sz w:val="24"/>
          <w:szCs w:val="24"/>
        </w:rPr>
        <w:t>Temascalcingo</w:t>
      </w:r>
      <w:proofErr w:type="spellEnd"/>
      <w:r w:rsidR="00EB43F8" w:rsidRPr="00590D02">
        <w:rPr>
          <w:rFonts w:ascii="Palatino Linotype" w:hAnsi="Palatino Linotype" w:cs="Arial"/>
          <w:sz w:val="24"/>
          <w:szCs w:val="24"/>
        </w:rPr>
        <w:t xml:space="preserve">, </w:t>
      </w:r>
      <w:proofErr w:type="spellStart"/>
      <w:r w:rsidR="00EB43F8" w:rsidRPr="00590D02">
        <w:rPr>
          <w:rFonts w:ascii="Palatino Linotype" w:hAnsi="Palatino Linotype" w:cs="Arial"/>
          <w:sz w:val="24"/>
          <w:szCs w:val="24"/>
        </w:rPr>
        <w:t>Timilpan</w:t>
      </w:r>
      <w:proofErr w:type="spellEnd"/>
      <w:r w:rsidR="00EB43F8" w:rsidRPr="00590D02">
        <w:rPr>
          <w:rFonts w:ascii="Palatino Linotype" w:hAnsi="Palatino Linotype" w:cs="Arial"/>
          <w:sz w:val="24"/>
          <w:szCs w:val="24"/>
        </w:rPr>
        <w:t xml:space="preserve"> y Villa del Carbón conforman el distrito </w:t>
      </w:r>
      <w:r w:rsidR="005318CA" w:rsidRPr="00590D02">
        <w:rPr>
          <w:rFonts w:ascii="Palatino Linotype" w:hAnsi="Palatino Linotype" w:cs="Arial"/>
          <w:sz w:val="24"/>
          <w:szCs w:val="24"/>
        </w:rPr>
        <w:t xml:space="preserve">electoral </w:t>
      </w:r>
      <w:r w:rsidR="00590D02" w:rsidRPr="00590D02">
        <w:rPr>
          <w:rFonts w:ascii="Palatino Linotype" w:hAnsi="Palatino Linotype" w:cs="Arial"/>
          <w:sz w:val="24"/>
          <w:szCs w:val="24"/>
        </w:rPr>
        <w:t xml:space="preserve">federal </w:t>
      </w:r>
      <w:r w:rsidR="005318CA" w:rsidRPr="00590D02">
        <w:rPr>
          <w:rFonts w:ascii="Palatino Linotype" w:hAnsi="Palatino Linotype" w:cs="Arial"/>
          <w:sz w:val="24"/>
          <w:szCs w:val="24"/>
        </w:rPr>
        <w:t>1</w:t>
      </w:r>
      <w:r w:rsidR="00EB43F8" w:rsidRPr="00590D02">
        <w:rPr>
          <w:rFonts w:ascii="Palatino Linotype" w:hAnsi="Palatino Linotype" w:cs="Arial"/>
          <w:sz w:val="24"/>
          <w:szCs w:val="24"/>
        </w:rPr>
        <w:t xml:space="preserve">. </w:t>
      </w:r>
    </w:p>
    <w:p w14:paraId="5D4B4776" w14:textId="3CFE15B9" w:rsidR="0096605C" w:rsidRDefault="00EB43F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otra parte, resultan de nuestro más amplio interés</w:t>
      </w:r>
      <w:r w:rsidR="009C0752">
        <w:rPr>
          <w:rFonts w:ascii="Palatino Linotype" w:hAnsi="Palatino Linotype" w:cs="Arial"/>
        </w:rPr>
        <w:t xml:space="preserve"> los artículos </w:t>
      </w:r>
      <w:r w:rsidR="008A0F04">
        <w:rPr>
          <w:rFonts w:ascii="Palatino Linotype" w:hAnsi="Palatino Linotype" w:cs="Arial"/>
        </w:rPr>
        <w:t>30 numeral 1 inciso k), 35, 43 numeral 1 inciso c), 51 nu</w:t>
      </w:r>
      <w:r w:rsidR="00397DF2">
        <w:rPr>
          <w:rFonts w:ascii="Palatino Linotype" w:hAnsi="Palatino Linotype" w:cs="Arial"/>
        </w:rPr>
        <w:t xml:space="preserve">meral 1, 61 numeral 1 inciso a), 63, </w:t>
      </w:r>
      <w:proofErr w:type="gramStart"/>
      <w:r w:rsidR="008A0F04">
        <w:rPr>
          <w:rFonts w:ascii="Palatino Linotype" w:hAnsi="Palatino Linotype" w:cs="Arial"/>
        </w:rPr>
        <w:t xml:space="preserve">76 </w:t>
      </w:r>
      <w:r w:rsidR="00397DF2">
        <w:rPr>
          <w:rFonts w:ascii="Palatino Linotype" w:hAnsi="Palatino Linotype" w:cs="Arial"/>
        </w:rPr>
        <w:t>,</w:t>
      </w:r>
      <w:proofErr w:type="gramEnd"/>
      <w:r w:rsidR="00397DF2">
        <w:rPr>
          <w:rFonts w:ascii="Palatino Linotype" w:hAnsi="Palatino Linotype" w:cs="Arial"/>
        </w:rPr>
        <w:t xml:space="preserve"> 77 y 78 </w:t>
      </w:r>
      <w:r w:rsidR="008A0F04">
        <w:rPr>
          <w:rFonts w:ascii="Palatino Linotype" w:hAnsi="Palatino Linotype" w:cs="Arial"/>
        </w:rPr>
        <w:t xml:space="preserve">de la Ley General de Partidos Políticos, normatividad invocada cuyo contenido literal es el siguiente: </w:t>
      </w:r>
      <w:r w:rsidR="008A0F04">
        <w:rPr>
          <w:rFonts w:ascii="Palatino Linotype" w:hAnsi="Palatino Linotype" w:cs="Arial"/>
        </w:rPr>
        <w:tab/>
      </w:r>
    </w:p>
    <w:p w14:paraId="4C9D18ED" w14:textId="54D47766" w:rsidR="0052678C" w:rsidRDefault="0052678C"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01248" behindDoc="0" locked="0" layoutInCell="1" allowOverlap="1" wp14:anchorId="75F57651" wp14:editId="5270180B">
                <wp:simplePos x="0" y="0"/>
                <wp:positionH relativeFrom="column">
                  <wp:posOffset>-346890</wp:posOffset>
                </wp:positionH>
                <wp:positionV relativeFrom="paragraph">
                  <wp:posOffset>111065</wp:posOffset>
                </wp:positionV>
                <wp:extent cx="6400800" cy="750498"/>
                <wp:effectExtent l="0" t="0" r="19050" b="31115"/>
                <wp:wrapNone/>
                <wp:docPr id="12" name="Conector recto 12"/>
                <wp:cNvGraphicFramePr/>
                <a:graphic xmlns:a="http://schemas.openxmlformats.org/drawingml/2006/main">
                  <a:graphicData uri="http://schemas.microsoft.com/office/word/2010/wordprocessingShape">
                    <wps:wsp>
                      <wps:cNvCnPr/>
                      <wps:spPr>
                        <a:xfrm>
                          <a:off x="0" y="0"/>
                          <a:ext cx="6400800" cy="7504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419F4" id="Conector recto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8.75pt" to="476.7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" strokecolor="#5b9bd5 [3204]" strokeweight=".5pt">
                <v:stroke joinstyle="miter"/>
              </v:line>
            </w:pict>
          </mc:Fallback>
        </mc:AlternateContent>
      </w:r>
    </w:p>
    <w:p w14:paraId="4984AE8E" w14:textId="39BCE205" w:rsidR="009C0752" w:rsidRPr="009C0752" w:rsidRDefault="007600FF" w:rsidP="008A0F04">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lastRenderedPageBreak/>
        <w:t>“</w:t>
      </w:r>
      <w:r w:rsidR="009C0752" w:rsidRPr="009C0752">
        <w:rPr>
          <w:rFonts w:ascii="Palatino Linotype" w:hAnsi="Palatino Linotype"/>
          <w:b/>
          <w:i/>
          <w:sz w:val="22"/>
          <w:szCs w:val="22"/>
        </w:rPr>
        <w:t xml:space="preserve">Artículo 30. </w:t>
      </w:r>
    </w:p>
    <w:p w14:paraId="02294C31" w14:textId="77777777" w:rsidR="009C0752" w:rsidRPr="009C0752" w:rsidRDefault="009C0752" w:rsidP="009C0752">
      <w:pPr>
        <w:pStyle w:val="Prrafodelista"/>
        <w:autoSpaceDE w:val="0"/>
        <w:autoSpaceDN w:val="0"/>
        <w:adjustRightInd w:val="0"/>
        <w:spacing w:before="240" w:after="160" w:line="360" w:lineRule="auto"/>
        <w:ind w:left="720" w:right="850"/>
        <w:jc w:val="both"/>
        <w:rPr>
          <w:rFonts w:ascii="Palatino Linotype" w:hAnsi="Palatino Linotype"/>
          <w:i/>
          <w:sz w:val="22"/>
          <w:szCs w:val="22"/>
        </w:rPr>
      </w:pPr>
      <w:r w:rsidRPr="009C0752">
        <w:rPr>
          <w:rFonts w:ascii="Palatino Linotype" w:hAnsi="Palatino Linotype"/>
          <w:b/>
          <w:i/>
          <w:sz w:val="22"/>
          <w:szCs w:val="22"/>
        </w:rPr>
        <w:t>1.</w:t>
      </w:r>
      <w:r w:rsidRPr="009C0752">
        <w:rPr>
          <w:rFonts w:ascii="Palatino Linotype" w:hAnsi="Palatino Linotype"/>
          <w:i/>
          <w:sz w:val="22"/>
          <w:szCs w:val="22"/>
        </w:rPr>
        <w:t xml:space="preserve"> Se considera </w:t>
      </w:r>
      <w:r w:rsidRPr="009C0752">
        <w:rPr>
          <w:rFonts w:ascii="Palatino Linotype" w:hAnsi="Palatino Linotype"/>
          <w:b/>
          <w:i/>
          <w:sz w:val="22"/>
          <w:szCs w:val="22"/>
          <w:u w:val="single"/>
        </w:rPr>
        <w:t>información pública</w:t>
      </w:r>
      <w:r w:rsidRPr="009C0752">
        <w:rPr>
          <w:rFonts w:ascii="Palatino Linotype" w:hAnsi="Palatino Linotype"/>
          <w:i/>
          <w:sz w:val="22"/>
          <w:szCs w:val="22"/>
        </w:rPr>
        <w:t xml:space="preserve"> de los partidos políticos:</w:t>
      </w:r>
    </w:p>
    <w:p w14:paraId="055C95AC" w14:textId="77777777" w:rsidR="009C0752" w:rsidRDefault="009C0752" w:rsidP="009C0752">
      <w:pPr>
        <w:pStyle w:val="Prrafodelista"/>
        <w:autoSpaceDE w:val="0"/>
        <w:autoSpaceDN w:val="0"/>
        <w:adjustRightInd w:val="0"/>
        <w:spacing w:before="240" w:after="160" w:line="360" w:lineRule="auto"/>
        <w:ind w:left="720" w:right="850"/>
        <w:jc w:val="both"/>
        <w:rPr>
          <w:rFonts w:ascii="Palatino Linotype" w:hAnsi="Palatino Linotype"/>
          <w:i/>
          <w:sz w:val="22"/>
          <w:szCs w:val="22"/>
        </w:rPr>
      </w:pPr>
      <w:r w:rsidRPr="009C0752">
        <w:rPr>
          <w:rFonts w:ascii="Palatino Linotype" w:hAnsi="Palatino Linotype"/>
          <w:b/>
          <w:i/>
          <w:sz w:val="22"/>
          <w:szCs w:val="22"/>
        </w:rPr>
        <w:t>k)</w:t>
      </w:r>
      <w:r w:rsidRPr="009C0752">
        <w:rPr>
          <w:rFonts w:ascii="Palatino Linotype" w:hAnsi="Palatino Linotype"/>
          <w:i/>
          <w:sz w:val="22"/>
          <w:szCs w:val="22"/>
        </w:rPr>
        <w:t xml:space="preserve"> Los </w:t>
      </w:r>
      <w:r w:rsidRPr="009C0752">
        <w:rPr>
          <w:rFonts w:ascii="Palatino Linotype" w:hAnsi="Palatino Linotype"/>
          <w:b/>
          <w:i/>
          <w:sz w:val="22"/>
          <w:szCs w:val="22"/>
          <w:u w:val="single"/>
        </w:rPr>
        <w:t>montos de financiamiento público</w:t>
      </w:r>
      <w:r w:rsidRPr="009C0752">
        <w:rPr>
          <w:rFonts w:ascii="Palatino Linotype" w:hAnsi="Palatino Linotype"/>
          <w:i/>
          <w:sz w:val="22"/>
          <w:szCs w:val="22"/>
        </w:rPr>
        <w:t xml:space="preserve"> otorgados en cualquier modalidad, a sus órganos nacionales</w:t>
      </w:r>
      <w:r w:rsidRPr="005F28FD">
        <w:rPr>
          <w:rFonts w:ascii="Palatino Linotype" w:hAnsi="Palatino Linotype"/>
          <w:i/>
          <w:sz w:val="22"/>
          <w:szCs w:val="22"/>
        </w:rPr>
        <w:t>, estatales,</w:t>
      </w:r>
      <w:r w:rsidRPr="009C0752">
        <w:rPr>
          <w:rFonts w:ascii="Palatino Linotype" w:hAnsi="Palatino Linotype"/>
          <w:i/>
          <w:sz w:val="22"/>
          <w:szCs w:val="22"/>
        </w:rPr>
        <w:t xml:space="preserve"> municipales y del Distrito Federal, durante los últimos cinco años y hasta el mes más reciente, así como los descuentos correspondientes a sanciones;</w:t>
      </w:r>
    </w:p>
    <w:p w14:paraId="145E6F71" w14:textId="77777777" w:rsidR="008A0F04" w:rsidRPr="008A0F04" w:rsidRDefault="008A0F04" w:rsidP="009C0752">
      <w:pPr>
        <w:pStyle w:val="Prrafodelista"/>
        <w:autoSpaceDE w:val="0"/>
        <w:autoSpaceDN w:val="0"/>
        <w:adjustRightInd w:val="0"/>
        <w:spacing w:before="240" w:after="160" w:line="360" w:lineRule="auto"/>
        <w:ind w:left="720" w:right="850"/>
        <w:jc w:val="both"/>
        <w:rPr>
          <w:rFonts w:ascii="Palatino Linotype" w:hAnsi="Palatino Linotype"/>
          <w:b/>
          <w:i/>
          <w:sz w:val="22"/>
          <w:szCs w:val="22"/>
        </w:rPr>
      </w:pPr>
      <w:r w:rsidRPr="008A0F04">
        <w:rPr>
          <w:rFonts w:ascii="Palatino Linotype" w:hAnsi="Palatino Linotype"/>
          <w:b/>
          <w:i/>
          <w:sz w:val="22"/>
          <w:szCs w:val="22"/>
        </w:rPr>
        <w:t xml:space="preserve">Artículo 35. </w:t>
      </w:r>
    </w:p>
    <w:p w14:paraId="62FA82DA" w14:textId="77777777" w:rsidR="008A0F04" w:rsidRPr="008A0F04" w:rsidRDefault="008A0F04" w:rsidP="009C0752">
      <w:pPr>
        <w:pStyle w:val="Prrafodelista"/>
        <w:autoSpaceDE w:val="0"/>
        <w:autoSpaceDN w:val="0"/>
        <w:adjustRightInd w:val="0"/>
        <w:spacing w:before="240" w:after="160" w:line="360" w:lineRule="auto"/>
        <w:ind w:left="720" w:right="850"/>
        <w:jc w:val="both"/>
        <w:rPr>
          <w:rFonts w:ascii="Palatino Linotype" w:hAnsi="Palatino Linotype"/>
          <w:i/>
          <w:sz w:val="22"/>
          <w:szCs w:val="22"/>
        </w:rPr>
      </w:pPr>
      <w:r w:rsidRPr="008A0F04">
        <w:rPr>
          <w:rFonts w:ascii="Palatino Linotype" w:hAnsi="Palatino Linotype"/>
          <w:i/>
          <w:sz w:val="22"/>
          <w:szCs w:val="22"/>
        </w:rPr>
        <w:t xml:space="preserve">1. Los documentos básicos de los partidos políticos son: </w:t>
      </w:r>
    </w:p>
    <w:p w14:paraId="62CBD044" w14:textId="77777777" w:rsidR="008A0F04" w:rsidRPr="008A0F04" w:rsidRDefault="008A0F04" w:rsidP="009C0752">
      <w:pPr>
        <w:pStyle w:val="Prrafodelista"/>
        <w:autoSpaceDE w:val="0"/>
        <w:autoSpaceDN w:val="0"/>
        <w:adjustRightInd w:val="0"/>
        <w:spacing w:before="240" w:after="160" w:line="360" w:lineRule="auto"/>
        <w:ind w:left="720" w:right="850"/>
        <w:jc w:val="both"/>
        <w:rPr>
          <w:rFonts w:ascii="Palatino Linotype" w:hAnsi="Palatino Linotype"/>
          <w:i/>
          <w:sz w:val="22"/>
          <w:szCs w:val="22"/>
        </w:rPr>
      </w:pPr>
      <w:r w:rsidRPr="008A0F04">
        <w:rPr>
          <w:rFonts w:ascii="Palatino Linotype" w:hAnsi="Palatino Linotype"/>
          <w:i/>
          <w:sz w:val="22"/>
          <w:szCs w:val="22"/>
        </w:rPr>
        <w:t xml:space="preserve">a) La declaración de principios; </w:t>
      </w:r>
    </w:p>
    <w:p w14:paraId="1DDF5B21" w14:textId="77777777" w:rsidR="008A0F04" w:rsidRPr="008A0F04" w:rsidRDefault="008A0F04" w:rsidP="009C0752">
      <w:pPr>
        <w:pStyle w:val="Prrafodelista"/>
        <w:autoSpaceDE w:val="0"/>
        <w:autoSpaceDN w:val="0"/>
        <w:adjustRightInd w:val="0"/>
        <w:spacing w:before="240" w:after="160" w:line="360" w:lineRule="auto"/>
        <w:ind w:left="720" w:right="850"/>
        <w:jc w:val="both"/>
        <w:rPr>
          <w:rFonts w:ascii="Palatino Linotype" w:hAnsi="Palatino Linotype"/>
          <w:i/>
          <w:sz w:val="22"/>
          <w:szCs w:val="22"/>
        </w:rPr>
      </w:pPr>
      <w:r w:rsidRPr="008A0F04">
        <w:rPr>
          <w:rFonts w:ascii="Palatino Linotype" w:hAnsi="Palatino Linotype"/>
          <w:i/>
          <w:sz w:val="22"/>
          <w:szCs w:val="22"/>
        </w:rPr>
        <w:t xml:space="preserve">b) El programa de acción, y </w:t>
      </w:r>
    </w:p>
    <w:p w14:paraId="7D843C39" w14:textId="1CB7BF68" w:rsidR="008A0F04" w:rsidRPr="00E07824" w:rsidRDefault="008A0F04" w:rsidP="009C0752">
      <w:pPr>
        <w:pStyle w:val="Prrafodelista"/>
        <w:autoSpaceDE w:val="0"/>
        <w:autoSpaceDN w:val="0"/>
        <w:adjustRightInd w:val="0"/>
        <w:spacing w:before="240" w:after="160" w:line="360" w:lineRule="auto"/>
        <w:ind w:left="720" w:right="850"/>
        <w:jc w:val="both"/>
        <w:rPr>
          <w:rFonts w:ascii="Palatino Linotype" w:hAnsi="Palatino Linotype"/>
          <w:b/>
          <w:i/>
          <w:sz w:val="22"/>
          <w:szCs w:val="22"/>
          <w:u w:val="single"/>
        </w:rPr>
      </w:pPr>
      <w:r w:rsidRPr="00E07824">
        <w:rPr>
          <w:rFonts w:ascii="Palatino Linotype" w:hAnsi="Palatino Linotype"/>
          <w:b/>
          <w:i/>
          <w:sz w:val="22"/>
          <w:szCs w:val="22"/>
          <w:u w:val="single"/>
        </w:rPr>
        <w:t>c) Los estatutos.</w:t>
      </w:r>
    </w:p>
    <w:p w14:paraId="395E3296" w14:textId="77777777" w:rsidR="009C0752" w:rsidRPr="009C0752" w:rsidRDefault="009C0752" w:rsidP="009C0752">
      <w:pPr>
        <w:pStyle w:val="Prrafodelista"/>
        <w:autoSpaceDE w:val="0"/>
        <w:autoSpaceDN w:val="0"/>
        <w:adjustRightInd w:val="0"/>
        <w:spacing w:before="240" w:after="160" w:line="360" w:lineRule="auto"/>
        <w:ind w:left="709" w:right="850"/>
        <w:jc w:val="both"/>
        <w:rPr>
          <w:rFonts w:ascii="Palatino Linotype" w:hAnsi="Palatino Linotype"/>
          <w:b/>
          <w:i/>
          <w:sz w:val="22"/>
          <w:szCs w:val="22"/>
        </w:rPr>
      </w:pPr>
      <w:r w:rsidRPr="009C0752">
        <w:rPr>
          <w:rFonts w:ascii="Palatino Linotype" w:hAnsi="Palatino Linotype"/>
          <w:b/>
          <w:i/>
          <w:sz w:val="22"/>
          <w:szCs w:val="22"/>
        </w:rPr>
        <w:t>Artículo 43.</w:t>
      </w:r>
    </w:p>
    <w:p w14:paraId="3E7A1587" w14:textId="6DC76AD9" w:rsidR="009C0752" w:rsidRPr="009C0752" w:rsidRDefault="009C0752" w:rsidP="009C0752">
      <w:pPr>
        <w:pStyle w:val="Prrafodelista"/>
        <w:autoSpaceDE w:val="0"/>
        <w:autoSpaceDN w:val="0"/>
        <w:adjustRightInd w:val="0"/>
        <w:spacing w:before="240" w:after="160" w:line="360" w:lineRule="auto"/>
        <w:ind w:left="709" w:right="850"/>
        <w:jc w:val="both"/>
        <w:rPr>
          <w:rFonts w:ascii="Palatino Linotype" w:hAnsi="Palatino Linotype"/>
          <w:i/>
          <w:sz w:val="22"/>
          <w:szCs w:val="22"/>
        </w:rPr>
      </w:pPr>
      <w:r w:rsidRPr="009C0752">
        <w:rPr>
          <w:rFonts w:ascii="Palatino Linotype" w:hAnsi="Palatino Linotype"/>
          <w:i/>
          <w:sz w:val="22"/>
          <w:szCs w:val="22"/>
        </w:rPr>
        <w:t xml:space="preserve"> 1. Entre los órganos internos de los partidos políticos deberán contemplarse, cuando menos, los siguientes:</w:t>
      </w:r>
    </w:p>
    <w:p w14:paraId="6C98B4D5" w14:textId="77777777" w:rsidR="009C0752" w:rsidRDefault="009C0752" w:rsidP="009C0752">
      <w:pPr>
        <w:pStyle w:val="Prrafodelista"/>
        <w:autoSpaceDE w:val="0"/>
        <w:autoSpaceDN w:val="0"/>
        <w:adjustRightInd w:val="0"/>
        <w:spacing w:before="240" w:after="160" w:line="360" w:lineRule="auto"/>
        <w:ind w:left="709" w:right="850"/>
        <w:jc w:val="both"/>
        <w:rPr>
          <w:rFonts w:ascii="Palatino Linotype" w:hAnsi="Palatino Linotype"/>
          <w:b/>
          <w:i/>
          <w:sz w:val="22"/>
          <w:szCs w:val="22"/>
          <w:u w:val="single"/>
        </w:rPr>
      </w:pPr>
      <w:r w:rsidRPr="009C0752">
        <w:rPr>
          <w:rFonts w:ascii="Palatino Linotype" w:hAnsi="Palatino Linotype"/>
          <w:b/>
          <w:i/>
          <w:sz w:val="22"/>
          <w:szCs w:val="22"/>
          <w:u w:val="single"/>
        </w:rPr>
        <w:t>c) Un órgano responsable de la administración de su patrimonio y recursos financieros y de la presentación de los informes de ingresos y egresos trimestrales y anuales, de precampaña y campaña;</w:t>
      </w:r>
    </w:p>
    <w:p w14:paraId="78C0E1C0" w14:textId="77777777" w:rsidR="009C0752" w:rsidRPr="007600FF" w:rsidRDefault="009C0752" w:rsidP="007600FF">
      <w:pPr>
        <w:pStyle w:val="Prrafodelista"/>
        <w:autoSpaceDE w:val="0"/>
        <w:autoSpaceDN w:val="0"/>
        <w:adjustRightInd w:val="0"/>
        <w:spacing w:before="240" w:after="160" w:line="360" w:lineRule="auto"/>
        <w:ind w:left="851" w:right="850"/>
        <w:jc w:val="both"/>
        <w:rPr>
          <w:rFonts w:ascii="Palatino Linotype" w:hAnsi="Palatino Linotype"/>
          <w:b/>
          <w:i/>
          <w:sz w:val="22"/>
          <w:szCs w:val="22"/>
        </w:rPr>
      </w:pPr>
      <w:r w:rsidRPr="007600FF">
        <w:rPr>
          <w:rFonts w:ascii="Palatino Linotype" w:hAnsi="Palatino Linotype"/>
          <w:b/>
          <w:i/>
          <w:sz w:val="22"/>
          <w:szCs w:val="22"/>
        </w:rPr>
        <w:t xml:space="preserve">Artículo 51. </w:t>
      </w:r>
    </w:p>
    <w:p w14:paraId="1AA17FCF" w14:textId="77777777" w:rsidR="009C0752" w:rsidRPr="007600FF" w:rsidRDefault="009C075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lastRenderedPageBreak/>
        <w:t xml:space="preserve">1. </w:t>
      </w:r>
      <w:r w:rsidRPr="007600FF">
        <w:rPr>
          <w:rFonts w:ascii="Palatino Linotype" w:hAnsi="Palatino Linotype"/>
          <w:b/>
          <w:i/>
          <w:sz w:val="22"/>
          <w:szCs w:val="22"/>
          <w:u w:val="single"/>
        </w:rPr>
        <w:t>Los partidos políticos tendrán derecho al financiamiento público</w:t>
      </w:r>
      <w:r w:rsidRPr="007600FF">
        <w:rPr>
          <w:rFonts w:ascii="Palatino Linotype" w:hAnsi="Palatino Linotype"/>
          <w:i/>
          <w:sz w:val="22"/>
          <w:szCs w:val="22"/>
        </w:rPr>
        <w:t xml:space="preserve"> de sus actividades, estructura, sueldos y salarios, independientemente de las demás prerrogativas otorgadas en esta Ley, conforme a las disposiciones siguientes:</w:t>
      </w:r>
    </w:p>
    <w:p w14:paraId="3CBF3E32" w14:textId="21E46D1E" w:rsidR="009C0752" w:rsidRPr="007600FF" w:rsidRDefault="009C075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w:t>
      </w:r>
    </w:p>
    <w:p w14:paraId="2D422E21" w14:textId="77777777" w:rsidR="008A0F04"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Artículo 61. </w:t>
      </w:r>
    </w:p>
    <w:p w14:paraId="44DCC4C7" w14:textId="5EF07EAE"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1. En cuanto a su régimen financiero, los partidos políticos deberán: </w:t>
      </w:r>
    </w:p>
    <w:p w14:paraId="0E26C70B" w14:textId="6475D378" w:rsidR="009C0752"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8073CD">
        <w:rPr>
          <w:rFonts w:ascii="Palatino Linotype" w:hAnsi="Palatino Linotype"/>
          <w:b/>
          <w:i/>
          <w:sz w:val="22"/>
          <w:szCs w:val="22"/>
          <w:u w:val="single"/>
        </w:rPr>
        <w:t>a) 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w:t>
      </w:r>
      <w:r w:rsidRPr="007600FF">
        <w:rPr>
          <w:rFonts w:ascii="Palatino Linotype" w:hAnsi="Palatino Linotype"/>
          <w:i/>
          <w:sz w:val="22"/>
          <w:szCs w:val="22"/>
        </w:rPr>
        <w:t xml:space="preserve"> y, en general, contribuir a medir la eficacia, economía y eficiencia del gasto e ingresos y la administración de la deuda;</w:t>
      </w:r>
    </w:p>
    <w:p w14:paraId="3B23E4A0" w14:textId="77777777"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Artículo 63. </w:t>
      </w:r>
    </w:p>
    <w:p w14:paraId="7A9FD24D" w14:textId="77777777" w:rsidR="00397DF2" w:rsidRPr="00590D02"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b/>
          <w:i/>
          <w:sz w:val="22"/>
          <w:szCs w:val="22"/>
          <w:u w:val="single"/>
        </w:rPr>
      </w:pPr>
      <w:r w:rsidRPr="00590D02">
        <w:rPr>
          <w:rFonts w:ascii="Palatino Linotype" w:hAnsi="Palatino Linotype"/>
          <w:b/>
          <w:i/>
          <w:sz w:val="22"/>
          <w:szCs w:val="22"/>
          <w:u w:val="single"/>
        </w:rPr>
        <w:t xml:space="preserve">1. Los gastos que realicen los partidos políticos, las coaliciones y los candidatos deberán reunir los siguientes requisitos: </w:t>
      </w:r>
    </w:p>
    <w:p w14:paraId="7BDE0F91" w14:textId="77777777" w:rsidR="00397DF2" w:rsidRPr="00590D02"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b/>
          <w:i/>
          <w:sz w:val="22"/>
          <w:szCs w:val="22"/>
          <w:u w:val="single"/>
        </w:rPr>
      </w:pPr>
      <w:r w:rsidRPr="00590D02">
        <w:rPr>
          <w:rFonts w:ascii="Palatino Linotype" w:hAnsi="Palatino Linotype"/>
          <w:b/>
          <w:i/>
          <w:sz w:val="22"/>
          <w:szCs w:val="22"/>
          <w:u w:val="single"/>
        </w:rPr>
        <w:t xml:space="preserve">a) Estar amparados con un comprobante que cumpla los requisitos fiscales; </w:t>
      </w:r>
    </w:p>
    <w:p w14:paraId="0C9D817A" w14:textId="110817C7"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b) Efectuar mediante transferencia electrónica, cheque nominativo para abono en cuenta del beneficiario, los pagos cuyo monto exceda de noventa días de salario mínimo general vigente para el Distrito Federal; </w:t>
      </w:r>
    </w:p>
    <w:p w14:paraId="7E84E88F" w14:textId="77777777"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c) Estar debidamente registrados en la contabilidad; </w:t>
      </w:r>
    </w:p>
    <w:p w14:paraId="1EB07D55" w14:textId="77777777"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lastRenderedPageBreak/>
        <w:t>d) Cumplir con las obligaciones establecidas en materia de retenciones y entero de impuestos a cargo de terceros, y</w:t>
      </w:r>
    </w:p>
    <w:p w14:paraId="06C7ABD4" w14:textId="73C4DC46"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b/>
          <w:i/>
          <w:sz w:val="22"/>
          <w:szCs w:val="22"/>
          <w:u w:val="single"/>
        </w:rPr>
      </w:pPr>
      <w:r w:rsidRPr="005318CA">
        <w:rPr>
          <w:rFonts w:ascii="Palatino Linotype" w:hAnsi="Palatino Linotype"/>
          <w:i/>
          <w:sz w:val="22"/>
          <w:szCs w:val="22"/>
        </w:rPr>
        <w:t xml:space="preserve"> e) Sujetar los gastos asociados a adquisiciones, a los criterios de legalidad, honestidad, eficiencia, eficacia, economía, racionalidad, austeridad, transparencia, control y rendición de cuentas.</w:t>
      </w:r>
    </w:p>
    <w:p w14:paraId="0D4E6C63" w14:textId="77777777" w:rsidR="00074420"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Artículo 76. </w:t>
      </w:r>
    </w:p>
    <w:p w14:paraId="42C998C9" w14:textId="14A0BFAA"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1. Para los efectos de este Capítulo se entienden como </w:t>
      </w:r>
      <w:r w:rsidRPr="00074420">
        <w:rPr>
          <w:rFonts w:ascii="Palatino Linotype" w:hAnsi="Palatino Linotype"/>
          <w:b/>
          <w:i/>
          <w:sz w:val="22"/>
          <w:szCs w:val="22"/>
          <w:u w:val="single"/>
        </w:rPr>
        <w:t>gastos de campaña:</w:t>
      </w:r>
    </w:p>
    <w:p w14:paraId="4AF72026"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 a) Gastos de propaganda: Comprenden los realizados en bardas, mantas, volantes, pancartas, equipos de sonido, eventos políticos realizados en lugares alquilados, propaganda utilitaria y otros similares;</w:t>
      </w:r>
    </w:p>
    <w:p w14:paraId="05993670"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 b) Gastos operativos de la campaña: Comprenden los sueldos y salarios del personal eventual, arrendamiento eventual de bienes muebles e inmuebles, gastos de transporte de material y personal, viáticos y otros similares; </w:t>
      </w:r>
    </w:p>
    <w:p w14:paraId="61CA17FD"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c) Gastos de propaganda en diarios, revistas y otros medios impresos: 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 </w:t>
      </w:r>
    </w:p>
    <w:p w14:paraId="210732AF"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d) Gastos de producción de los mensajes para radio y televisión: Comprenden los realizados para el pago de servicios profesionales; uso de equipo técnico, locaciones o estudios de grabación y producción, así como los demás inherentes al mismo objetivo; </w:t>
      </w:r>
    </w:p>
    <w:p w14:paraId="2C301B06"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lastRenderedPageBreak/>
        <w:t>e) Los gastos que tengan como propósito presentar a la ciudadanía las candidaturas registradas del partido y su respectiva promoción;</w:t>
      </w:r>
    </w:p>
    <w:p w14:paraId="4C89788A"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 f) Los gastos que tengan como finalidad el propiciar la exposición, desarrollo y discusión ante la ciudadanía de los programas y acciones de los candidatos registrados, así como la plataforma electoral; </w:t>
      </w:r>
    </w:p>
    <w:p w14:paraId="50E22B49"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g) Cualquier gasto que difunda la imagen, nombre o plataforma de gobierno de algún candidato o de un partido político en el periodo que transita de la conclusión de la precampaña y hasta el inicio de la campaña electoral, y </w:t>
      </w:r>
    </w:p>
    <w:p w14:paraId="0FA3719B"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h) Los gastos que el Consejo General a propuesta de la Comisión de Fiscalización y previo inicio de la campaña electoral determine. </w:t>
      </w:r>
    </w:p>
    <w:p w14:paraId="0C49F1DF" w14:textId="77777777" w:rsidR="007600FF" w:rsidRPr="007600FF"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 xml:space="preserve">2. No se considerarán dentro de los gastos de campaña los gastos que realicen los partidos para su operación ordinaria, para el cumplimiento de sus obligaciones estatutarias y para el sostenimiento de sus órganos directivos y de sus organizaciones. </w:t>
      </w:r>
    </w:p>
    <w:p w14:paraId="4651781F" w14:textId="7AEE290D" w:rsidR="009C0752" w:rsidRDefault="007600FF"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7600FF">
        <w:rPr>
          <w:rFonts w:ascii="Palatino Linotype" w:hAnsi="Palatino Linotype"/>
          <w:i/>
          <w:sz w:val="22"/>
          <w:szCs w:val="22"/>
        </w:rPr>
        <w:t>3. Todos los bienes o servicios que se destinen a la campaña deberán tener como propósito directo la obtención del voto en las</w:t>
      </w:r>
      <w:r w:rsidR="00397DF2">
        <w:rPr>
          <w:rFonts w:ascii="Palatino Linotype" w:hAnsi="Palatino Linotype"/>
          <w:i/>
          <w:sz w:val="22"/>
          <w:szCs w:val="22"/>
        </w:rPr>
        <w:t xml:space="preserve"> elecciones federales o locales. </w:t>
      </w:r>
    </w:p>
    <w:p w14:paraId="728AB5D0"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Artículo 77. </w:t>
      </w:r>
    </w:p>
    <w:p w14:paraId="67103054"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1. El órgano interno de los partidos políticos previsto en el artículo 43, inciso c), de esta Ley, será el responsable de la administración de su patrimonio y de sus recursos generales, de precampaña y campaña, así como de la presentación de los informes a que se refiere el presente Capítulo. </w:t>
      </w:r>
    </w:p>
    <w:p w14:paraId="6050CDF1"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lastRenderedPageBreak/>
        <w:t xml:space="preserve">Dicho órgano se constituirá en los términos y con las modalidades y características que cada partido libremente determine. </w:t>
      </w:r>
    </w:p>
    <w:p w14:paraId="7B3F73A7"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 </w:t>
      </w:r>
    </w:p>
    <w:p w14:paraId="031F9DDB"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Artículo 78. </w:t>
      </w:r>
    </w:p>
    <w:p w14:paraId="2705C3FE"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1. Los partidos políticos deberán de presentar sus informes trimestrales y de gastos ordinarios bajo las directrices siguientes: </w:t>
      </w:r>
    </w:p>
    <w:p w14:paraId="6B0E9B1F"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a) Informes trimestrales de avance del ejercicio:</w:t>
      </w:r>
    </w:p>
    <w:p w14:paraId="083A6A05"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 I. Serán presentados a más tardar dentro de los treinta días siguientes a la conclusión del trimestre que corresponda; </w:t>
      </w:r>
    </w:p>
    <w:p w14:paraId="19E43327"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II. En el informe será reportado el resultado de los ingresos y gastos ordinarios que los partidos hayan obtenido y realizado durante el periodo que corresponda;</w:t>
      </w:r>
    </w:p>
    <w:p w14:paraId="1036C900"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 III. Durante el año del proceso electoral federal se suspenderá la obligación establecida en este inciso, y</w:t>
      </w:r>
    </w:p>
    <w:p w14:paraId="754C96C6"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 IV. Si de la revisión que realice la Comisión a través de la Unidad Técnica, se encuentran anomalías, errores u omisiones, se notificará al partido político a fin de </w:t>
      </w:r>
      <w:r w:rsidRPr="005318CA">
        <w:rPr>
          <w:rFonts w:ascii="Palatino Linotype" w:hAnsi="Palatino Linotype"/>
          <w:i/>
          <w:sz w:val="22"/>
          <w:szCs w:val="22"/>
        </w:rPr>
        <w:lastRenderedPageBreak/>
        <w:t xml:space="preserve">que las subsane o realice las aclaraciones conducentes. Los informes constituyen un precedente para la revisión anual que realizará la autoridad. </w:t>
      </w:r>
    </w:p>
    <w:p w14:paraId="5CC38E7B"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b) Informes anuales de gasto ordinario: </w:t>
      </w:r>
    </w:p>
    <w:p w14:paraId="41B9AA69"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I. Serán presentados a más tardar dentro de los sesenta días siguientes al último día de diciembre del año del ejercicio que se reporte; </w:t>
      </w:r>
    </w:p>
    <w:p w14:paraId="238B82A2"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II. En el informe de gastos ordinarios serán reportados los ingresos totales y gastos ordinarios que los partidos hayan realizado durante el ejercicio objeto del informe; </w:t>
      </w:r>
    </w:p>
    <w:p w14:paraId="5D7FE5A6"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III. Junto con el informe anual se presentará el estado consolidado de situación patrimonial en el que se manifiesten los activos, pasivos y patrimonio, así como un informe detallado de los bienes inmuebles propiedad del partido que corresponda, y</w:t>
      </w:r>
    </w:p>
    <w:p w14:paraId="41BC3DAA" w14:textId="77777777" w:rsidR="005318CA"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i/>
          <w:sz w:val="22"/>
          <w:szCs w:val="22"/>
        </w:rPr>
      </w:pPr>
      <w:r w:rsidRPr="005318CA">
        <w:rPr>
          <w:rFonts w:ascii="Palatino Linotype" w:hAnsi="Palatino Linotype"/>
          <w:i/>
          <w:sz w:val="22"/>
          <w:szCs w:val="22"/>
        </w:rPr>
        <w:t xml:space="preserve"> IV. Los informes a que se refiere este inciso deberán estar autorizados y firmados por el auditor externo que cada partido designe para tal efecto. </w:t>
      </w:r>
    </w:p>
    <w:p w14:paraId="36FF4B07" w14:textId="06E4C75E" w:rsidR="00397DF2" w:rsidRPr="005318CA" w:rsidRDefault="00397DF2" w:rsidP="007600FF">
      <w:pPr>
        <w:pStyle w:val="Prrafodelista"/>
        <w:autoSpaceDE w:val="0"/>
        <w:autoSpaceDN w:val="0"/>
        <w:adjustRightInd w:val="0"/>
        <w:spacing w:before="240" w:after="160" w:line="360" w:lineRule="auto"/>
        <w:ind w:left="851" w:right="850"/>
        <w:jc w:val="both"/>
        <w:rPr>
          <w:rFonts w:ascii="Palatino Linotype" w:hAnsi="Palatino Linotype"/>
          <w:b/>
          <w:i/>
          <w:sz w:val="22"/>
          <w:szCs w:val="22"/>
        </w:rPr>
      </w:pPr>
      <w:r w:rsidRPr="005318CA">
        <w:rPr>
          <w:rFonts w:ascii="Palatino Linotype" w:hAnsi="Palatino Linotype"/>
          <w:i/>
          <w:sz w:val="22"/>
          <w:szCs w:val="22"/>
        </w:rPr>
        <w:t>2. Las agrupaciones políticas nacionales presentarán un informe anual de ingresos y egresos, dentro del mismo plazo señalado en la fracción I del inciso a) del párrafo 1 de este artículo y siguiendo los lineamientos establecidos en el reglamento aplicable.</w:t>
      </w:r>
      <w:r w:rsidR="005318CA" w:rsidRPr="005318CA">
        <w:rPr>
          <w:rFonts w:ascii="Palatino Linotype" w:hAnsi="Palatino Linotype"/>
          <w:i/>
          <w:sz w:val="22"/>
          <w:szCs w:val="22"/>
        </w:rPr>
        <w:t xml:space="preserve">” </w:t>
      </w:r>
      <w:r w:rsidR="005318CA" w:rsidRPr="005318CA">
        <w:rPr>
          <w:rFonts w:ascii="Palatino Linotype" w:hAnsi="Palatino Linotype"/>
          <w:b/>
          <w:i/>
          <w:sz w:val="22"/>
          <w:szCs w:val="22"/>
        </w:rPr>
        <w:t>[Sic]</w:t>
      </w:r>
    </w:p>
    <w:p w14:paraId="2C52347B" w14:textId="063FFA72" w:rsidR="008073CD" w:rsidRPr="001A2A3C" w:rsidRDefault="008073CD" w:rsidP="009C0752">
      <w:pPr>
        <w:autoSpaceDE w:val="0"/>
        <w:autoSpaceDN w:val="0"/>
        <w:adjustRightInd w:val="0"/>
        <w:spacing w:before="240" w:line="360" w:lineRule="auto"/>
        <w:jc w:val="both"/>
        <w:rPr>
          <w:rFonts w:ascii="Palatino Linotype" w:eastAsia="Times New Roman" w:hAnsi="Palatino Linotype" w:cs="Times New Roman"/>
          <w:sz w:val="24"/>
          <w:szCs w:val="24"/>
          <w:u w:val="single"/>
          <w:lang w:val="es-ES" w:eastAsia="es-ES"/>
        </w:rPr>
      </w:pPr>
      <w:r>
        <w:rPr>
          <w:rFonts w:ascii="Palatino Linotype" w:eastAsia="Times New Roman" w:hAnsi="Palatino Linotype" w:cs="Times New Roman"/>
          <w:sz w:val="24"/>
          <w:szCs w:val="24"/>
          <w:lang w:val="es-ES" w:eastAsia="es-ES"/>
        </w:rPr>
        <w:t xml:space="preserve">Del análisis </w:t>
      </w:r>
      <w:r w:rsidR="008A0F04">
        <w:rPr>
          <w:rFonts w:ascii="Palatino Linotype" w:eastAsia="Times New Roman" w:hAnsi="Palatino Linotype" w:cs="Times New Roman"/>
          <w:sz w:val="24"/>
          <w:szCs w:val="24"/>
          <w:lang w:val="es-ES" w:eastAsia="es-ES"/>
        </w:rPr>
        <w:t>sistemático</w:t>
      </w:r>
      <w:r>
        <w:rPr>
          <w:rFonts w:ascii="Palatino Linotype" w:eastAsia="Times New Roman" w:hAnsi="Palatino Linotype" w:cs="Times New Roman"/>
          <w:sz w:val="24"/>
          <w:szCs w:val="24"/>
          <w:lang w:val="es-ES" w:eastAsia="es-ES"/>
        </w:rPr>
        <w:t xml:space="preserve"> de la normatividad previamente plasmada </w:t>
      </w:r>
      <w:r w:rsidR="008A0F04">
        <w:rPr>
          <w:rFonts w:ascii="Palatino Linotype" w:eastAsia="Times New Roman" w:hAnsi="Palatino Linotype" w:cs="Times New Roman"/>
          <w:sz w:val="24"/>
          <w:szCs w:val="24"/>
          <w:lang w:val="es-ES" w:eastAsia="es-ES"/>
        </w:rPr>
        <w:t xml:space="preserve">es posible advertir que los partidos políticos fungen como entidades de interés </w:t>
      </w:r>
      <w:r w:rsidR="00353A0D">
        <w:rPr>
          <w:rFonts w:ascii="Palatino Linotype" w:eastAsia="Times New Roman" w:hAnsi="Palatino Linotype" w:cs="Times New Roman"/>
          <w:sz w:val="24"/>
          <w:szCs w:val="24"/>
          <w:lang w:val="es-ES" w:eastAsia="es-ES"/>
        </w:rPr>
        <w:t>público</w:t>
      </w:r>
      <w:r w:rsidR="008A0F04">
        <w:rPr>
          <w:rFonts w:ascii="Palatino Linotype" w:eastAsia="Times New Roman" w:hAnsi="Palatino Linotype" w:cs="Times New Roman"/>
          <w:sz w:val="24"/>
          <w:szCs w:val="24"/>
          <w:lang w:val="es-ES" w:eastAsia="es-ES"/>
        </w:rPr>
        <w:t xml:space="preserve"> con personalidad jurídica y patrimonio propios</w:t>
      </w:r>
      <w:r w:rsidR="00353A0D">
        <w:rPr>
          <w:rFonts w:ascii="Palatino Linotype" w:eastAsia="Times New Roman" w:hAnsi="Palatino Linotype" w:cs="Times New Roman"/>
          <w:sz w:val="24"/>
          <w:szCs w:val="24"/>
          <w:lang w:val="es-ES" w:eastAsia="es-ES"/>
        </w:rPr>
        <w:t xml:space="preserve">, cuya actuación se encuentra encauzada a promover la participación política ciudadana. </w:t>
      </w:r>
      <w:r w:rsidR="00074420">
        <w:rPr>
          <w:rFonts w:ascii="Palatino Linotype" w:eastAsia="Times New Roman" w:hAnsi="Palatino Linotype" w:cs="Times New Roman"/>
          <w:sz w:val="24"/>
          <w:szCs w:val="24"/>
          <w:lang w:val="es-ES" w:eastAsia="es-ES"/>
        </w:rPr>
        <w:t xml:space="preserve">Asimismo, al recibir recursos del erario público invariablemente se encuentran constreñidos a hacer del conocimiento general sus gastos de precampaña y </w:t>
      </w:r>
      <w:r w:rsidR="00E07824" w:rsidRPr="001A2A3C">
        <w:rPr>
          <w:rFonts w:ascii="Palatino Linotype" w:eastAsia="Times New Roman" w:hAnsi="Palatino Linotype" w:cs="Times New Roman"/>
          <w:b/>
          <w:sz w:val="24"/>
          <w:szCs w:val="24"/>
          <w:u w:val="single"/>
          <w:lang w:val="es-ES" w:eastAsia="es-ES"/>
        </w:rPr>
        <w:t xml:space="preserve">campaña. </w:t>
      </w:r>
    </w:p>
    <w:p w14:paraId="26567054" w14:textId="2F72FCD2" w:rsidR="00074420" w:rsidRDefault="00074420" w:rsidP="009C075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 xml:space="preserve">Por otra parte, no resulta desapercibido para este órgano </w:t>
      </w:r>
      <w:proofErr w:type="spellStart"/>
      <w:r>
        <w:rPr>
          <w:rFonts w:ascii="Palatino Linotype" w:eastAsia="Times New Roman" w:hAnsi="Palatino Linotype" w:cs="Times New Roman"/>
          <w:sz w:val="24"/>
          <w:szCs w:val="24"/>
          <w:lang w:val="es-ES" w:eastAsia="es-ES"/>
        </w:rPr>
        <w:t>resolutor</w:t>
      </w:r>
      <w:proofErr w:type="spellEnd"/>
      <w:r w:rsidR="00BB3580">
        <w:rPr>
          <w:rFonts w:ascii="Palatino Linotype" w:eastAsia="Times New Roman" w:hAnsi="Palatino Linotype" w:cs="Times New Roman"/>
          <w:sz w:val="24"/>
          <w:szCs w:val="24"/>
          <w:lang w:val="es-ES" w:eastAsia="es-ES"/>
        </w:rPr>
        <w:t xml:space="preserve"> que mediante el </w:t>
      </w:r>
      <w:r w:rsidR="00E07824">
        <w:rPr>
          <w:rFonts w:ascii="Palatino Linotype" w:eastAsia="Times New Roman" w:hAnsi="Palatino Linotype" w:cs="Times New Roman"/>
          <w:sz w:val="24"/>
          <w:szCs w:val="24"/>
          <w:lang w:val="es-ES" w:eastAsia="es-ES"/>
        </w:rPr>
        <w:t xml:space="preserve">artículo 35 </w:t>
      </w:r>
      <w:r w:rsidR="00BB3580">
        <w:rPr>
          <w:rFonts w:ascii="Palatino Linotype" w:eastAsia="Times New Roman" w:hAnsi="Palatino Linotype" w:cs="Times New Roman"/>
          <w:sz w:val="24"/>
          <w:szCs w:val="24"/>
          <w:lang w:val="es-ES" w:eastAsia="es-ES"/>
        </w:rPr>
        <w:t xml:space="preserve">de </w:t>
      </w:r>
      <w:r w:rsidR="00E07824">
        <w:rPr>
          <w:rFonts w:ascii="Palatino Linotype" w:eastAsia="Times New Roman" w:hAnsi="Palatino Linotype" w:cs="Times New Roman"/>
          <w:sz w:val="24"/>
          <w:szCs w:val="24"/>
          <w:lang w:val="es-ES" w:eastAsia="es-ES"/>
        </w:rPr>
        <w:t xml:space="preserve">la Ley General de Partidos Políticos </w:t>
      </w:r>
      <w:r w:rsidR="00BB3580">
        <w:rPr>
          <w:rFonts w:ascii="Palatino Linotype" w:eastAsia="Times New Roman" w:hAnsi="Palatino Linotype" w:cs="Times New Roman"/>
          <w:sz w:val="24"/>
          <w:szCs w:val="24"/>
          <w:lang w:val="es-ES" w:eastAsia="es-ES"/>
        </w:rPr>
        <w:t xml:space="preserve">se </w:t>
      </w:r>
      <w:r w:rsidR="00E07824">
        <w:rPr>
          <w:rFonts w:ascii="Palatino Linotype" w:eastAsia="Times New Roman" w:hAnsi="Palatino Linotype" w:cs="Times New Roman"/>
          <w:sz w:val="24"/>
          <w:szCs w:val="24"/>
          <w:lang w:val="es-ES" w:eastAsia="es-ES"/>
        </w:rPr>
        <w:t xml:space="preserve">dota al </w:t>
      </w:r>
      <w:r w:rsidR="00E07824">
        <w:rPr>
          <w:rFonts w:ascii="Palatino Linotype" w:eastAsia="Times New Roman" w:hAnsi="Palatino Linotype" w:cs="Times New Roman"/>
          <w:b/>
          <w:sz w:val="24"/>
          <w:szCs w:val="24"/>
          <w:lang w:val="es-ES" w:eastAsia="es-ES"/>
        </w:rPr>
        <w:t xml:space="preserve">Sujeto Obligado </w:t>
      </w:r>
      <w:r>
        <w:rPr>
          <w:rFonts w:ascii="Palatino Linotype" w:eastAsia="Times New Roman" w:hAnsi="Palatino Linotype" w:cs="Times New Roman"/>
          <w:sz w:val="24"/>
          <w:szCs w:val="24"/>
          <w:lang w:val="es-ES" w:eastAsia="es-ES"/>
        </w:rPr>
        <w:t xml:space="preserve"> </w:t>
      </w:r>
      <w:r w:rsidR="00E07824">
        <w:rPr>
          <w:rFonts w:ascii="Palatino Linotype" w:eastAsia="Times New Roman" w:hAnsi="Palatino Linotype" w:cs="Times New Roman"/>
          <w:sz w:val="24"/>
          <w:szCs w:val="24"/>
          <w:lang w:val="es-ES" w:eastAsia="es-ES"/>
        </w:rPr>
        <w:t>de facultades para expedir sus propios es</w:t>
      </w:r>
      <w:r w:rsidR="00BB3580">
        <w:rPr>
          <w:rFonts w:ascii="Palatino Linotype" w:eastAsia="Times New Roman" w:hAnsi="Palatino Linotype" w:cs="Times New Roman"/>
          <w:sz w:val="24"/>
          <w:szCs w:val="24"/>
          <w:lang w:val="es-ES" w:eastAsia="es-ES"/>
        </w:rPr>
        <w:t xml:space="preserve">tatutos. En este tenor, resultan de nuestro </w:t>
      </w:r>
      <w:r w:rsidR="00CC211E">
        <w:rPr>
          <w:rFonts w:ascii="Palatino Linotype" w:eastAsia="Times New Roman" w:hAnsi="Palatino Linotype" w:cs="Times New Roman"/>
          <w:sz w:val="24"/>
          <w:szCs w:val="24"/>
          <w:lang w:val="es-ES" w:eastAsia="es-ES"/>
        </w:rPr>
        <w:t xml:space="preserve">interés los artículos 12 Bis, </w:t>
      </w:r>
      <w:r w:rsidR="00BB3580">
        <w:rPr>
          <w:rFonts w:ascii="Palatino Linotype" w:eastAsia="Times New Roman" w:hAnsi="Palatino Linotype" w:cs="Times New Roman"/>
          <w:sz w:val="24"/>
          <w:szCs w:val="24"/>
          <w:lang w:val="es-ES" w:eastAsia="es-ES"/>
        </w:rPr>
        <w:t xml:space="preserve">32 </w:t>
      </w:r>
      <w:proofErr w:type="gramStart"/>
      <w:r w:rsidR="00BB3580" w:rsidRPr="00590D02">
        <w:rPr>
          <w:rFonts w:ascii="Palatino Linotype" w:eastAsia="Times New Roman" w:hAnsi="Palatino Linotype" w:cs="Times New Roman"/>
          <w:sz w:val="24"/>
          <w:szCs w:val="24"/>
          <w:lang w:val="es-ES" w:eastAsia="es-ES"/>
        </w:rPr>
        <w:t>inciso</w:t>
      </w:r>
      <w:proofErr w:type="gramEnd"/>
      <w:r w:rsidR="00BB3580" w:rsidRPr="00590D02">
        <w:rPr>
          <w:rFonts w:ascii="Palatino Linotype" w:eastAsia="Times New Roman" w:hAnsi="Palatino Linotype" w:cs="Times New Roman"/>
          <w:sz w:val="24"/>
          <w:szCs w:val="24"/>
          <w:lang w:val="es-ES" w:eastAsia="es-ES"/>
        </w:rPr>
        <w:t xml:space="preserve"> c)</w:t>
      </w:r>
      <w:r w:rsidR="00CC211E">
        <w:rPr>
          <w:rFonts w:ascii="Palatino Linotype" w:eastAsia="Times New Roman" w:hAnsi="Palatino Linotype" w:cs="Times New Roman"/>
          <w:b/>
          <w:sz w:val="24"/>
          <w:szCs w:val="24"/>
          <w:lang w:val="es-ES" w:eastAsia="es-ES"/>
        </w:rPr>
        <w:t xml:space="preserve"> </w:t>
      </w:r>
      <w:r w:rsidR="00CC211E">
        <w:rPr>
          <w:rFonts w:ascii="Palatino Linotype" w:eastAsia="Times New Roman" w:hAnsi="Palatino Linotype" w:cs="Times New Roman"/>
          <w:sz w:val="24"/>
          <w:szCs w:val="24"/>
          <w:lang w:val="es-ES" w:eastAsia="es-ES"/>
        </w:rPr>
        <w:t xml:space="preserve">y </w:t>
      </w:r>
      <w:r w:rsidR="00CC211E" w:rsidRPr="00590D02">
        <w:rPr>
          <w:rFonts w:ascii="Palatino Linotype" w:eastAsia="Times New Roman" w:hAnsi="Palatino Linotype" w:cs="Times New Roman"/>
          <w:sz w:val="24"/>
          <w:szCs w:val="24"/>
          <w:lang w:val="es-ES" w:eastAsia="es-ES"/>
        </w:rPr>
        <w:t xml:space="preserve">38 </w:t>
      </w:r>
      <w:r w:rsidR="00CC211E">
        <w:rPr>
          <w:rFonts w:ascii="Palatino Linotype" w:eastAsia="Times New Roman" w:hAnsi="Palatino Linotype" w:cs="Times New Roman"/>
          <w:sz w:val="24"/>
          <w:szCs w:val="24"/>
          <w:lang w:val="es-ES" w:eastAsia="es-ES"/>
        </w:rPr>
        <w:t xml:space="preserve">inciso </w:t>
      </w:r>
      <w:r w:rsidR="00CC211E" w:rsidRPr="00590D02">
        <w:rPr>
          <w:rFonts w:ascii="Palatino Linotype" w:eastAsia="Times New Roman" w:hAnsi="Palatino Linotype" w:cs="Times New Roman"/>
          <w:sz w:val="24"/>
          <w:szCs w:val="24"/>
          <w:lang w:val="es-ES" w:eastAsia="es-ES"/>
        </w:rPr>
        <w:t>d)</w:t>
      </w:r>
      <w:r w:rsidR="008C6D9D">
        <w:rPr>
          <w:rFonts w:ascii="Palatino Linotype" w:eastAsia="Times New Roman" w:hAnsi="Palatino Linotype" w:cs="Times New Roman"/>
          <w:sz w:val="24"/>
          <w:szCs w:val="24"/>
          <w:lang w:val="es-ES" w:eastAsia="es-ES"/>
        </w:rPr>
        <w:t xml:space="preserve"> de los estatutos del </w:t>
      </w:r>
      <w:r w:rsidR="008C6D9D">
        <w:rPr>
          <w:rFonts w:ascii="Palatino Linotype" w:eastAsia="Times New Roman" w:hAnsi="Palatino Linotype" w:cs="Times New Roman"/>
          <w:b/>
          <w:sz w:val="24"/>
          <w:szCs w:val="24"/>
          <w:lang w:val="es-ES" w:eastAsia="es-ES"/>
        </w:rPr>
        <w:t>Sujeto Obligado</w:t>
      </w:r>
      <w:r w:rsidR="00BB3580">
        <w:rPr>
          <w:rFonts w:ascii="Palatino Linotype" w:eastAsia="Times New Roman" w:hAnsi="Palatino Linotype" w:cs="Times New Roman"/>
          <w:b/>
          <w:sz w:val="24"/>
          <w:szCs w:val="24"/>
          <w:lang w:val="es-ES" w:eastAsia="es-ES"/>
        </w:rPr>
        <w:t xml:space="preserve"> </w:t>
      </w:r>
      <w:r w:rsidR="00BB3580">
        <w:rPr>
          <w:rFonts w:ascii="Palatino Linotype" w:eastAsia="Times New Roman" w:hAnsi="Palatino Linotype" w:cs="Times New Roman"/>
          <w:sz w:val="24"/>
          <w:szCs w:val="24"/>
          <w:lang w:val="es-ES" w:eastAsia="es-ES"/>
        </w:rPr>
        <w:t>los cuales señalan a la literalidad:</w:t>
      </w:r>
    </w:p>
    <w:p w14:paraId="0844C81C" w14:textId="572F8E45" w:rsidR="00E07824" w:rsidRPr="00BB3580" w:rsidRDefault="00BB3580" w:rsidP="00BB3580">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BB3580">
        <w:rPr>
          <w:rFonts w:ascii="Palatino Linotype" w:hAnsi="Palatino Linotype"/>
          <w:b/>
          <w:i/>
          <w:sz w:val="22"/>
          <w:szCs w:val="22"/>
          <w:u w:val="single"/>
        </w:rPr>
        <w:t>“</w:t>
      </w:r>
      <w:r w:rsidR="00E07824" w:rsidRPr="00BB3580">
        <w:rPr>
          <w:rFonts w:ascii="Palatino Linotype" w:hAnsi="Palatino Linotype"/>
          <w:b/>
          <w:i/>
          <w:sz w:val="22"/>
          <w:szCs w:val="22"/>
          <w:u w:val="single"/>
        </w:rPr>
        <w:t>Artículo 12º Bis. MORENA accederá a las prerrogativas y financiamiento público</w:t>
      </w:r>
      <w:r w:rsidR="00E07824" w:rsidRPr="00BB3580">
        <w:rPr>
          <w:rFonts w:ascii="Palatino Linotype" w:hAnsi="Palatino Linotype"/>
          <w:i/>
          <w:sz w:val="22"/>
          <w:szCs w:val="22"/>
        </w:rPr>
        <w:t xml:space="preserve"> en los términos del artículo 41 de la Constitución y de las leyes generales, federales y locales aplicables.</w:t>
      </w:r>
    </w:p>
    <w:p w14:paraId="706430D4" w14:textId="5327086E" w:rsidR="00BB3580" w:rsidRPr="00BB3580" w:rsidRDefault="00BB3580" w:rsidP="00BB3580">
      <w:pPr>
        <w:autoSpaceDE w:val="0"/>
        <w:autoSpaceDN w:val="0"/>
        <w:adjustRightInd w:val="0"/>
        <w:spacing w:before="240" w:line="360" w:lineRule="auto"/>
        <w:ind w:left="851" w:right="851"/>
        <w:jc w:val="both"/>
        <w:rPr>
          <w:rFonts w:ascii="Palatino Linotype" w:hAnsi="Palatino Linotype"/>
          <w:i/>
        </w:rPr>
      </w:pPr>
      <w:r w:rsidRPr="00BB3580">
        <w:rPr>
          <w:rFonts w:ascii="Palatino Linotype" w:hAnsi="Palatino Linotype"/>
          <w:b/>
          <w:i/>
        </w:rPr>
        <w:t>Artículo 32°.</w:t>
      </w:r>
      <w:r w:rsidRPr="00BB3580">
        <w:rPr>
          <w:rFonts w:ascii="Palatino Linotype" w:hAnsi="Palatino Linotype"/>
          <w:i/>
        </w:rPr>
        <w:t xml:space="preserve"> </w:t>
      </w:r>
      <w:r w:rsidRPr="00CD589E">
        <w:rPr>
          <w:rFonts w:ascii="Palatino Linotype" w:hAnsi="Palatino Linotype"/>
          <w:b/>
          <w:i/>
          <w:u w:val="single"/>
        </w:rPr>
        <w:t>El Comité Ejecutivo Estatal conducirá a MORENA en la entidad federativa entre sesiones del Consejo Estatal.</w:t>
      </w:r>
      <w:r w:rsidRPr="00BB3580">
        <w:rPr>
          <w:rFonts w:ascii="Palatino Linotype" w:hAnsi="Palatino Linotype"/>
          <w:i/>
        </w:rPr>
        <w:t xml:space="preserve"> Durará en su encargo tres años. Será responsable de determinar fecha, hora y lugar en las convocatorias para la realización de congresos distritales y municipales, emitidas por el Comité Ejecutivo Nacional; así como de llevar a cabo los planes de acción acordados por el Consejo Estatal, el Consejo Nacional y el Congreso Nacional. </w:t>
      </w:r>
    </w:p>
    <w:p w14:paraId="02CCF1AF" w14:textId="4EB21BF7" w:rsidR="00074420" w:rsidRPr="00BB3580" w:rsidRDefault="00BB3580" w:rsidP="00BB3580">
      <w:pPr>
        <w:autoSpaceDE w:val="0"/>
        <w:autoSpaceDN w:val="0"/>
        <w:adjustRightInd w:val="0"/>
        <w:spacing w:before="240" w:line="360" w:lineRule="auto"/>
        <w:ind w:left="851" w:right="851"/>
        <w:jc w:val="both"/>
        <w:rPr>
          <w:rFonts w:ascii="Palatino Linotype" w:hAnsi="Palatino Linotype"/>
          <w:i/>
        </w:rPr>
      </w:pPr>
      <w:r w:rsidRPr="00BB3580">
        <w:rPr>
          <w:rFonts w:ascii="Palatino Linotype" w:hAnsi="Palatino Linotype"/>
          <w:i/>
        </w:rPr>
        <w:t>Se reunirá de manera ordinaria una vez por semana, y de manera extraordinaria, cuando lo solicite la tercera parte de los/ las consejeros/as estatales. Se instalará y sesionará con la presencia de la mitad más uno de sus integrantes. Estará conformado por un mínimo de seis personas, cuyos cargos y funciones serán los siguientes:</w:t>
      </w:r>
    </w:p>
    <w:p w14:paraId="1B7B4525" w14:textId="155254B3" w:rsidR="00BB3580" w:rsidRPr="00CD589E" w:rsidRDefault="00BB3580" w:rsidP="00BB3580">
      <w:pPr>
        <w:autoSpaceDE w:val="0"/>
        <w:autoSpaceDN w:val="0"/>
        <w:adjustRightInd w:val="0"/>
        <w:spacing w:before="240" w:line="360" w:lineRule="auto"/>
        <w:ind w:left="851" w:right="851"/>
        <w:jc w:val="both"/>
        <w:rPr>
          <w:rFonts w:ascii="Palatino Linotype" w:hAnsi="Palatino Linotype"/>
          <w:b/>
          <w:i/>
        </w:rPr>
      </w:pPr>
      <w:r w:rsidRPr="00CD589E">
        <w:rPr>
          <w:rFonts w:ascii="Palatino Linotype" w:hAnsi="Palatino Linotype"/>
          <w:b/>
          <w:i/>
        </w:rPr>
        <w:t>(…)</w:t>
      </w:r>
    </w:p>
    <w:p w14:paraId="0781B03A" w14:textId="5293AA0B" w:rsidR="00BB3580" w:rsidRDefault="00BB3580" w:rsidP="00BB3580">
      <w:pPr>
        <w:autoSpaceDE w:val="0"/>
        <w:autoSpaceDN w:val="0"/>
        <w:adjustRightInd w:val="0"/>
        <w:spacing w:before="240" w:line="360" w:lineRule="auto"/>
        <w:ind w:left="851" w:right="851"/>
        <w:jc w:val="both"/>
        <w:rPr>
          <w:rFonts w:ascii="Palatino Linotype" w:hAnsi="Palatino Linotype"/>
          <w:b/>
          <w:i/>
          <w:u w:val="single"/>
        </w:rPr>
      </w:pPr>
      <w:r w:rsidRPr="00BB3580">
        <w:rPr>
          <w:rFonts w:ascii="Palatino Linotype" w:hAnsi="Palatino Linotype"/>
          <w:b/>
          <w:i/>
          <w:u w:val="single"/>
        </w:rPr>
        <w:t xml:space="preserve">c. Secretario/a de Finanzas, quien se encargará de procurar, recibir y administrar las aportaciones de las y los Protagonistas del cambio verdadero y de las y los ciudadanos para garantizar el funcionamiento de nuestro partido en el estado; informará de su cabal administración ante el </w:t>
      </w:r>
      <w:r w:rsidRPr="00BB3580">
        <w:rPr>
          <w:rFonts w:ascii="Palatino Linotype" w:hAnsi="Palatino Linotype"/>
          <w:b/>
          <w:i/>
          <w:u w:val="single"/>
        </w:rPr>
        <w:lastRenderedPageBreak/>
        <w:t xml:space="preserve">Consejo Estatal, la Secretaría de Finanzas del Comité Ejecutivo Nacional y, en su caso, ante la </w:t>
      </w:r>
      <w:r w:rsidR="00CC211E">
        <w:rPr>
          <w:rFonts w:ascii="Palatino Linotype" w:hAnsi="Palatino Linotype"/>
          <w:b/>
          <w:i/>
          <w:u w:val="single"/>
        </w:rPr>
        <w:t>autoridad electoral competente;</w:t>
      </w:r>
    </w:p>
    <w:p w14:paraId="05EF41B0" w14:textId="77777777" w:rsidR="00CC211E" w:rsidRPr="00EB43F8" w:rsidRDefault="00CC211E" w:rsidP="00CC211E">
      <w:pPr>
        <w:autoSpaceDE w:val="0"/>
        <w:autoSpaceDN w:val="0"/>
        <w:adjustRightInd w:val="0"/>
        <w:spacing w:before="240" w:line="360" w:lineRule="auto"/>
        <w:ind w:left="851" w:right="851"/>
        <w:jc w:val="both"/>
        <w:rPr>
          <w:rFonts w:ascii="Palatino Linotype" w:hAnsi="Palatino Linotype"/>
          <w:i/>
        </w:rPr>
      </w:pPr>
      <w:r w:rsidRPr="00EB43F8">
        <w:rPr>
          <w:rFonts w:ascii="Palatino Linotype" w:hAnsi="Palatino Linotype"/>
          <w:b/>
          <w:i/>
        </w:rPr>
        <w:t>Artículo 38°.</w:t>
      </w:r>
      <w:r w:rsidRPr="00EB43F8">
        <w:rPr>
          <w:rFonts w:ascii="Palatino Linotype" w:hAnsi="Palatino Linotype"/>
          <w:i/>
        </w:rPr>
        <w:t xml:space="preserve"> </w:t>
      </w:r>
      <w:r w:rsidRPr="00EB43F8">
        <w:rPr>
          <w:rFonts w:ascii="Palatino Linotype" w:hAnsi="Palatino Linotype"/>
          <w:b/>
          <w:i/>
          <w:u w:val="single"/>
        </w:rPr>
        <w:t>El Comité Ejecutivo Nacional</w:t>
      </w:r>
      <w:r w:rsidRPr="00EB43F8">
        <w:rPr>
          <w:rFonts w:ascii="Palatino Linotype" w:hAnsi="Palatino Linotype"/>
          <w:i/>
        </w:rPr>
        <w:t xml:space="preserve"> conducirá a nuestro partido en el país entre sesiones del Consejo Nacional (…) </w:t>
      </w:r>
    </w:p>
    <w:p w14:paraId="46B7C0AC" w14:textId="77777777" w:rsidR="00CC211E" w:rsidRDefault="00CC211E" w:rsidP="00CC211E">
      <w:pPr>
        <w:autoSpaceDE w:val="0"/>
        <w:autoSpaceDN w:val="0"/>
        <w:adjustRightInd w:val="0"/>
        <w:spacing w:before="240" w:line="360" w:lineRule="auto"/>
        <w:ind w:left="851" w:right="851"/>
        <w:jc w:val="both"/>
        <w:rPr>
          <w:rFonts w:ascii="Palatino Linotype" w:hAnsi="Palatino Linotype"/>
          <w:i/>
        </w:rPr>
      </w:pPr>
      <w:r w:rsidRPr="00EB43F8">
        <w:rPr>
          <w:rFonts w:ascii="Palatino Linotype" w:hAnsi="Palatino Linotype"/>
          <w:i/>
        </w:rPr>
        <w:t xml:space="preserve">Estará conformado por </w:t>
      </w:r>
      <w:proofErr w:type="gramStart"/>
      <w:r w:rsidRPr="00EB43F8">
        <w:rPr>
          <w:rFonts w:ascii="Palatino Linotype" w:hAnsi="Palatino Linotype"/>
          <w:i/>
        </w:rPr>
        <w:t>veintiún</w:t>
      </w:r>
      <w:proofErr w:type="gramEnd"/>
      <w:r w:rsidRPr="00EB43F8">
        <w:rPr>
          <w:rFonts w:ascii="Palatino Linotype" w:hAnsi="Palatino Linotype"/>
          <w:i/>
        </w:rPr>
        <w:t xml:space="preserve"> personas, cuyos cargos y funciones serán los siguientes:</w:t>
      </w:r>
    </w:p>
    <w:p w14:paraId="1267681E" w14:textId="77777777" w:rsidR="00CC211E" w:rsidRPr="00EB43F8" w:rsidRDefault="00CC211E" w:rsidP="00CC211E">
      <w:pPr>
        <w:autoSpaceDE w:val="0"/>
        <w:autoSpaceDN w:val="0"/>
        <w:adjustRightInd w:val="0"/>
        <w:spacing w:before="240" w:line="360" w:lineRule="auto"/>
        <w:ind w:left="851" w:right="851"/>
        <w:jc w:val="both"/>
        <w:rPr>
          <w:rFonts w:ascii="Palatino Linotype" w:hAnsi="Palatino Linotype"/>
          <w:b/>
          <w:i/>
        </w:rPr>
      </w:pPr>
      <w:r w:rsidRPr="00EB43F8">
        <w:rPr>
          <w:rFonts w:ascii="Palatino Linotype" w:hAnsi="Palatino Linotype"/>
          <w:b/>
          <w:i/>
        </w:rPr>
        <w:t>(…)</w:t>
      </w:r>
    </w:p>
    <w:p w14:paraId="24121460" w14:textId="77777777" w:rsidR="00CC211E" w:rsidRPr="00EB43F8" w:rsidRDefault="00CC211E" w:rsidP="00CC211E">
      <w:pPr>
        <w:autoSpaceDE w:val="0"/>
        <w:autoSpaceDN w:val="0"/>
        <w:adjustRightInd w:val="0"/>
        <w:spacing w:before="240" w:line="360" w:lineRule="auto"/>
        <w:ind w:left="851" w:right="851"/>
        <w:jc w:val="both"/>
        <w:rPr>
          <w:rFonts w:ascii="Palatino Linotype" w:hAnsi="Palatino Linotype"/>
          <w:b/>
          <w:i/>
        </w:rPr>
      </w:pPr>
      <w:r w:rsidRPr="00EB43F8">
        <w:rPr>
          <w:rFonts w:ascii="Palatino Linotype" w:hAnsi="Palatino Linotype"/>
          <w:b/>
          <w:i/>
          <w:u w:val="single"/>
        </w:rPr>
        <w:t>d. Secretario/a de Finanzas,</w:t>
      </w:r>
      <w:r w:rsidRPr="00EB43F8">
        <w:rPr>
          <w:rFonts w:ascii="Palatino Linotype" w:hAnsi="Palatino Linotype"/>
          <w:i/>
        </w:rPr>
        <w:t xml:space="preserve"> quien deberá procurar y administrar los recursos financieros aportados por ciudadanas y ciudadanos y Protagonistas del cambio verdadero; además será responsable de la administración del patrimonio de MORENA y de la presentación de los informes de ingresos y egresos, de precampaña y campaña a que se refiere la legislación electoral. Éste será el órgano responsable que establece el artículo 43, numeral 1, inciso c) de la Ley General de Partidos Políticos” </w:t>
      </w:r>
      <w:r w:rsidRPr="00EB43F8">
        <w:rPr>
          <w:rFonts w:ascii="Palatino Linotype" w:hAnsi="Palatino Linotype"/>
          <w:b/>
          <w:i/>
        </w:rPr>
        <w:t>[Sic]</w:t>
      </w:r>
    </w:p>
    <w:p w14:paraId="6ED3E8B7" w14:textId="77777777" w:rsidR="00CC211E" w:rsidRDefault="00CC211E" w:rsidP="00BB3580">
      <w:pPr>
        <w:autoSpaceDE w:val="0"/>
        <w:autoSpaceDN w:val="0"/>
        <w:adjustRightInd w:val="0"/>
        <w:spacing w:before="240" w:line="360" w:lineRule="auto"/>
        <w:ind w:left="851" w:right="851"/>
        <w:jc w:val="both"/>
        <w:rPr>
          <w:rFonts w:ascii="Palatino Linotype" w:hAnsi="Palatino Linotype"/>
          <w:b/>
          <w:i/>
        </w:rPr>
      </w:pPr>
    </w:p>
    <w:p w14:paraId="634A6041" w14:textId="3ACA3D4E" w:rsidR="00EB43F8" w:rsidRDefault="001A2A3C" w:rsidP="009C075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estas línea</w:t>
      </w:r>
      <w:r w:rsidR="00EB43F8">
        <w:rPr>
          <w:rFonts w:ascii="Palatino Linotype" w:hAnsi="Palatino Linotype" w:cs="Arial"/>
          <w:sz w:val="24"/>
          <w:szCs w:val="24"/>
        </w:rPr>
        <w:t xml:space="preserve">s argumentativas, es posible advertir que dentro de la estructura </w:t>
      </w:r>
      <w:r w:rsidR="005318CA">
        <w:rPr>
          <w:rFonts w:ascii="Palatino Linotype" w:hAnsi="Palatino Linotype" w:cs="Arial"/>
          <w:sz w:val="24"/>
          <w:szCs w:val="24"/>
        </w:rPr>
        <w:t>organizacional</w:t>
      </w:r>
      <w:r w:rsidR="00EB43F8">
        <w:rPr>
          <w:rFonts w:ascii="Palatino Linotype" w:hAnsi="Palatino Linotype" w:cs="Arial"/>
          <w:sz w:val="24"/>
          <w:szCs w:val="24"/>
        </w:rPr>
        <w:t xml:space="preserve"> del </w:t>
      </w:r>
      <w:r w:rsidR="00EB43F8">
        <w:rPr>
          <w:rFonts w:ascii="Palatino Linotype" w:hAnsi="Palatino Linotype" w:cs="Arial"/>
          <w:b/>
          <w:sz w:val="24"/>
          <w:szCs w:val="24"/>
        </w:rPr>
        <w:t xml:space="preserve">Sujeto Obligado </w:t>
      </w:r>
      <w:r w:rsidR="00EB43F8">
        <w:rPr>
          <w:rFonts w:ascii="Palatino Linotype" w:hAnsi="Palatino Linotype" w:cs="Arial"/>
          <w:sz w:val="24"/>
          <w:szCs w:val="24"/>
        </w:rPr>
        <w:t xml:space="preserve">existe un comité </w:t>
      </w:r>
      <w:r w:rsidR="005318CA">
        <w:rPr>
          <w:rFonts w:ascii="Palatino Linotype" w:hAnsi="Palatino Linotype" w:cs="Arial"/>
          <w:sz w:val="24"/>
          <w:szCs w:val="24"/>
        </w:rPr>
        <w:t>nacional, comités estatales</w:t>
      </w:r>
      <w:r w:rsidR="00EB43F8">
        <w:rPr>
          <w:rFonts w:ascii="Palatino Linotype" w:hAnsi="Palatino Linotype" w:cs="Arial"/>
          <w:sz w:val="24"/>
          <w:szCs w:val="24"/>
        </w:rPr>
        <w:t xml:space="preserve">, así como otras unidades administrativas. Adicionalmente, el Comité Nacional así como los comités estatales cuentan con un Secretario de Finanzas cuya actuación se encuentra encauzada a procurar, recibir y administrar los recursos. </w:t>
      </w:r>
      <w:r w:rsidR="00196BF7">
        <w:rPr>
          <w:rFonts w:ascii="Palatino Linotype" w:hAnsi="Palatino Linotype" w:cs="Arial"/>
          <w:sz w:val="24"/>
          <w:szCs w:val="24"/>
        </w:rPr>
        <w:t xml:space="preserve">Por otra parte, el Secretario de Finanzas funge como el enlace que informa a las autoridades electorales </w:t>
      </w:r>
      <w:r w:rsidR="00196BF7">
        <w:rPr>
          <w:rFonts w:ascii="Palatino Linotype" w:hAnsi="Palatino Linotype" w:cs="Arial"/>
          <w:sz w:val="24"/>
          <w:szCs w:val="24"/>
        </w:rPr>
        <w:lastRenderedPageBreak/>
        <w:t xml:space="preserve">competentes sobre la erogación de recursos, englobando lo relativo a los gastos de campaña. </w:t>
      </w:r>
    </w:p>
    <w:p w14:paraId="1BDCAC8A" w14:textId="5AC8AF4E" w:rsidR="008C6D9D" w:rsidRPr="008C6D9D" w:rsidRDefault="00196BF7" w:rsidP="00B23F44">
      <w:pPr>
        <w:tabs>
          <w:tab w:val="left" w:pos="709"/>
        </w:tabs>
        <w:spacing w:before="240" w:line="360" w:lineRule="auto"/>
        <w:ind w:right="51"/>
        <w:jc w:val="both"/>
        <w:rPr>
          <w:rFonts w:ascii="Palatino Linotype" w:hAnsi="Palatino Linotype" w:cs="Arial"/>
          <w:sz w:val="24"/>
          <w:szCs w:val="24"/>
        </w:rPr>
      </w:pPr>
      <w:r w:rsidRPr="00327A1D">
        <w:rPr>
          <w:rFonts w:ascii="Palatino Linotype" w:hAnsi="Palatino Linotype" w:cs="Arial"/>
          <w:sz w:val="24"/>
          <w:szCs w:val="24"/>
        </w:rPr>
        <w:t xml:space="preserve">Por último, no resulta desapercibido para este órgano </w:t>
      </w:r>
      <w:proofErr w:type="spellStart"/>
      <w:r w:rsidRPr="00327A1D">
        <w:rPr>
          <w:rFonts w:ascii="Palatino Linotype" w:hAnsi="Palatino Linotype" w:cs="Arial"/>
          <w:sz w:val="24"/>
          <w:szCs w:val="24"/>
        </w:rPr>
        <w:t>resolutor</w:t>
      </w:r>
      <w:proofErr w:type="spellEnd"/>
      <w:r w:rsidRPr="00327A1D">
        <w:rPr>
          <w:rFonts w:ascii="Palatino Linotype" w:hAnsi="Palatino Linotype" w:cs="Arial"/>
          <w:sz w:val="24"/>
          <w:szCs w:val="24"/>
        </w:rPr>
        <w:t xml:space="preserve"> que los distritos electorales federales fungen como unidades de división en materia electoral para la elección </w:t>
      </w:r>
      <w:r w:rsidR="00B23F44" w:rsidRPr="00327A1D">
        <w:rPr>
          <w:rFonts w:ascii="Palatino Linotype" w:hAnsi="Palatino Linotype" w:cs="Arial"/>
          <w:sz w:val="24"/>
          <w:szCs w:val="24"/>
        </w:rPr>
        <w:t xml:space="preserve">de cargos de elección popular, </w:t>
      </w:r>
      <w:r w:rsidR="00717934" w:rsidRPr="00327A1D">
        <w:rPr>
          <w:rFonts w:ascii="Palatino Linotype" w:hAnsi="Palatino Linotype" w:cs="Arial"/>
          <w:sz w:val="24"/>
          <w:szCs w:val="24"/>
        </w:rPr>
        <w:t>tales como</w:t>
      </w:r>
      <w:r w:rsidR="00B23F44" w:rsidRPr="00327A1D">
        <w:rPr>
          <w:rFonts w:ascii="Palatino Linotype" w:hAnsi="Palatino Linotype" w:cs="Arial"/>
          <w:sz w:val="24"/>
          <w:szCs w:val="24"/>
        </w:rPr>
        <w:t xml:space="preserve"> </w:t>
      </w:r>
      <w:r w:rsidRPr="00327A1D">
        <w:rPr>
          <w:rFonts w:ascii="Palatino Linotype" w:hAnsi="Palatino Linotype" w:cs="Arial"/>
          <w:sz w:val="24"/>
          <w:szCs w:val="24"/>
        </w:rPr>
        <w:t>diputados federales</w:t>
      </w:r>
      <w:r w:rsidR="008D6629" w:rsidRPr="00327A1D">
        <w:rPr>
          <w:rFonts w:ascii="Palatino Linotype" w:hAnsi="Palatino Linotype" w:cs="Arial"/>
          <w:sz w:val="24"/>
          <w:szCs w:val="24"/>
        </w:rPr>
        <w:t xml:space="preserve"> y senadores</w:t>
      </w:r>
      <w:r w:rsidRPr="00327A1D">
        <w:rPr>
          <w:rFonts w:ascii="Palatino Linotype" w:hAnsi="Palatino Linotype" w:cs="Arial"/>
          <w:sz w:val="24"/>
          <w:szCs w:val="24"/>
        </w:rPr>
        <w:t xml:space="preserve"> </w:t>
      </w:r>
      <w:r w:rsidR="00327A1D">
        <w:rPr>
          <w:rFonts w:ascii="Palatino Linotype" w:hAnsi="Palatino Linotype" w:cs="Arial"/>
          <w:sz w:val="24"/>
          <w:szCs w:val="24"/>
        </w:rPr>
        <w:t>resultando</w:t>
      </w:r>
      <w:r w:rsidRPr="00327A1D">
        <w:rPr>
          <w:rFonts w:ascii="Palatino Linotype" w:hAnsi="Palatino Linotype" w:cs="Arial"/>
          <w:sz w:val="24"/>
          <w:szCs w:val="24"/>
        </w:rPr>
        <w:t xml:space="preserve"> procedente la entrega de la información</w:t>
      </w:r>
      <w:r w:rsidR="00BE4347" w:rsidRPr="00327A1D">
        <w:rPr>
          <w:rFonts w:ascii="Palatino Linotype" w:hAnsi="Palatino Linotype" w:cs="Arial"/>
          <w:sz w:val="24"/>
          <w:szCs w:val="24"/>
        </w:rPr>
        <w:t>,</w:t>
      </w:r>
      <w:r w:rsidR="00CC211E" w:rsidRPr="00327A1D">
        <w:rPr>
          <w:rFonts w:ascii="Palatino Linotype" w:hAnsi="Palatino Linotype" w:cs="Arial"/>
          <w:sz w:val="24"/>
          <w:szCs w:val="24"/>
        </w:rPr>
        <w:t xml:space="preserve"> de ser </w:t>
      </w:r>
      <w:r w:rsidR="00327A1D">
        <w:rPr>
          <w:rFonts w:ascii="Palatino Linotype" w:hAnsi="Palatino Linotype" w:cs="Arial"/>
          <w:sz w:val="24"/>
          <w:szCs w:val="24"/>
        </w:rPr>
        <w:t>necesario</w:t>
      </w:r>
      <w:r w:rsidR="00CC211E" w:rsidRPr="00327A1D">
        <w:rPr>
          <w:rFonts w:ascii="Palatino Linotype" w:hAnsi="Palatino Linotype" w:cs="Arial"/>
          <w:sz w:val="24"/>
          <w:szCs w:val="24"/>
        </w:rPr>
        <w:t xml:space="preserve"> en versión pública acompañada del acuerdo de</w:t>
      </w:r>
      <w:r w:rsidR="008C6D9D" w:rsidRPr="00327A1D">
        <w:rPr>
          <w:rFonts w:ascii="Palatino Linotype" w:hAnsi="Palatino Linotype" w:cs="Arial"/>
          <w:sz w:val="24"/>
          <w:szCs w:val="24"/>
        </w:rPr>
        <w:t xml:space="preserve"> clasificación correspondiente, lo anterior bajo la premisa de que </w:t>
      </w:r>
      <w:r w:rsidR="008C6D9D" w:rsidRPr="00327A1D">
        <w:rPr>
          <w:rFonts w:ascii="Palatino Linotype" w:hAnsi="Palatino Linotype" w:cs="Arial"/>
          <w:b/>
          <w:sz w:val="24"/>
          <w:szCs w:val="24"/>
        </w:rPr>
        <w:t xml:space="preserve">El Sujeto Obligado </w:t>
      </w:r>
      <w:r w:rsidR="008C6D9D" w:rsidRPr="00327A1D">
        <w:rPr>
          <w:rFonts w:ascii="Palatino Linotype" w:hAnsi="Palatino Linotype" w:cs="Arial"/>
          <w:sz w:val="24"/>
          <w:szCs w:val="24"/>
        </w:rPr>
        <w:t>pudiera entregar diversos documentos para colmar lo relativo al desglose de gastos, tales como facturas o recibos de pago.</w:t>
      </w:r>
      <w:r w:rsidR="008C6D9D">
        <w:rPr>
          <w:rFonts w:ascii="Palatino Linotype" w:hAnsi="Palatino Linotype" w:cs="Arial"/>
          <w:sz w:val="24"/>
          <w:szCs w:val="24"/>
        </w:rPr>
        <w:t xml:space="preserve"> </w:t>
      </w:r>
    </w:p>
    <w:p w14:paraId="30FC9A7A" w14:textId="433D2018" w:rsidR="00B23F44" w:rsidRDefault="008C6D9D" w:rsidP="00B23F4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A mayor abundamiento</w:t>
      </w:r>
      <w:r w:rsidR="00196BF7">
        <w:rPr>
          <w:rFonts w:ascii="Palatino Linotype" w:hAnsi="Palatino Linotype" w:cs="Arial"/>
          <w:sz w:val="24"/>
          <w:szCs w:val="24"/>
        </w:rPr>
        <w:t xml:space="preserve">, de no contar con la información </w:t>
      </w:r>
      <w:r w:rsidR="006B3076">
        <w:rPr>
          <w:rFonts w:ascii="Palatino Linotype" w:hAnsi="Palatino Linotype" w:cs="Arial"/>
          <w:sz w:val="24"/>
          <w:szCs w:val="24"/>
        </w:rPr>
        <w:t xml:space="preserve">identificada mediante los numerales </w:t>
      </w:r>
      <w:r w:rsidR="006B3076">
        <w:rPr>
          <w:rFonts w:ascii="Palatino Linotype" w:hAnsi="Palatino Linotype" w:cs="Arial"/>
          <w:b/>
          <w:sz w:val="24"/>
          <w:szCs w:val="24"/>
        </w:rPr>
        <w:t xml:space="preserve">1 </w:t>
      </w:r>
      <w:r w:rsidR="006B3076">
        <w:rPr>
          <w:rFonts w:ascii="Palatino Linotype" w:hAnsi="Palatino Linotype" w:cs="Arial"/>
          <w:sz w:val="24"/>
          <w:szCs w:val="24"/>
        </w:rPr>
        <w:t xml:space="preserve">y </w:t>
      </w:r>
      <w:r w:rsidR="006B3076">
        <w:rPr>
          <w:rFonts w:ascii="Palatino Linotype" w:hAnsi="Palatino Linotype" w:cs="Arial"/>
          <w:b/>
          <w:sz w:val="24"/>
          <w:szCs w:val="24"/>
        </w:rPr>
        <w:t xml:space="preserve">2 </w:t>
      </w:r>
      <w:r w:rsidR="006B3076">
        <w:rPr>
          <w:rFonts w:ascii="Palatino Linotype" w:hAnsi="Palatino Linotype" w:cs="Arial"/>
          <w:sz w:val="24"/>
          <w:szCs w:val="24"/>
        </w:rPr>
        <w:t xml:space="preserve">por no </w:t>
      </w:r>
      <w:r w:rsidR="00B23F44">
        <w:rPr>
          <w:rFonts w:ascii="Palatino Linotype" w:hAnsi="Palatino Linotype" w:cs="Arial"/>
          <w:sz w:val="24"/>
          <w:szCs w:val="24"/>
        </w:rPr>
        <w:t>poseerla, generarla o administrarla</w:t>
      </w:r>
      <w:r w:rsidR="006B3076">
        <w:rPr>
          <w:rFonts w:ascii="Palatino Linotype" w:hAnsi="Palatino Linotype" w:cs="Arial"/>
          <w:sz w:val="24"/>
          <w:szCs w:val="24"/>
        </w:rPr>
        <w:t xml:space="preserve">, </w:t>
      </w:r>
      <w:r w:rsidR="006B3076">
        <w:rPr>
          <w:rFonts w:ascii="Palatino Linotype" w:hAnsi="Palatino Linotype" w:cs="Arial"/>
          <w:b/>
          <w:sz w:val="24"/>
          <w:szCs w:val="24"/>
        </w:rPr>
        <w:t xml:space="preserve">El Sujeto Obligado </w:t>
      </w:r>
      <w:r w:rsidR="006B3076">
        <w:rPr>
          <w:rFonts w:ascii="Palatino Linotype" w:hAnsi="Palatino Linotype" w:cs="Arial"/>
          <w:sz w:val="24"/>
          <w:szCs w:val="24"/>
        </w:rPr>
        <w:t>deberá de elaborar el acuer</w:t>
      </w:r>
      <w:r w:rsidR="00B23F44">
        <w:rPr>
          <w:rFonts w:ascii="Palatino Linotype" w:hAnsi="Palatino Linotype" w:cs="Arial"/>
          <w:sz w:val="24"/>
          <w:szCs w:val="24"/>
        </w:rPr>
        <w:t xml:space="preserve">do de incompetencia respectivo, lo anterior con fundamento en los artículos 49 fracción II y 167 </w:t>
      </w:r>
      <w:r w:rsidR="00B23F44">
        <w:rPr>
          <w:rFonts w:ascii="Palatino Linotype" w:hAnsi="Palatino Linotype"/>
          <w:sz w:val="24"/>
          <w:szCs w:val="24"/>
        </w:rPr>
        <w:t xml:space="preserve">de la Ley de Transparencia y Acceso a la Información Pública del Estado de México y Municipios, los cuales disponen lo siguiente: </w:t>
      </w:r>
    </w:p>
    <w:p w14:paraId="65BF0CE4" w14:textId="77777777" w:rsidR="00B23F44" w:rsidRPr="004858B2" w:rsidRDefault="00B23F44" w:rsidP="00B23F44">
      <w:pPr>
        <w:autoSpaceDE w:val="0"/>
        <w:autoSpaceDN w:val="0"/>
        <w:adjustRightInd w:val="0"/>
        <w:ind w:left="851" w:right="899"/>
        <w:jc w:val="both"/>
        <w:rPr>
          <w:rFonts w:ascii="Palatino Linotype" w:hAnsi="Palatino Linotype" w:cs="Arial"/>
          <w:i/>
        </w:rPr>
      </w:pPr>
      <w:r w:rsidRPr="004858B2">
        <w:rPr>
          <w:rFonts w:ascii="Palatino Linotype" w:hAnsi="Palatino Linotype" w:cs="Arial"/>
          <w:b/>
          <w:bCs/>
          <w:i/>
        </w:rPr>
        <w:t xml:space="preserve">“Artículo 49. </w:t>
      </w:r>
      <w:r w:rsidRPr="004858B2">
        <w:rPr>
          <w:rFonts w:ascii="Palatino Linotype" w:hAnsi="Palatino Linotype" w:cs="Arial"/>
          <w:i/>
        </w:rPr>
        <w:t>Los Comités de Transparencia tendrán las siguientes atribuciones:</w:t>
      </w:r>
    </w:p>
    <w:p w14:paraId="6D5E671C" w14:textId="77777777" w:rsidR="00B23F44" w:rsidRPr="004858B2" w:rsidRDefault="00B23F44" w:rsidP="00B23F44">
      <w:pPr>
        <w:autoSpaceDE w:val="0"/>
        <w:autoSpaceDN w:val="0"/>
        <w:adjustRightInd w:val="0"/>
        <w:ind w:left="851" w:right="899"/>
        <w:jc w:val="both"/>
        <w:rPr>
          <w:rFonts w:ascii="Palatino Linotype" w:hAnsi="Palatino Linotype" w:cs="Arial"/>
          <w:i/>
        </w:rPr>
      </w:pPr>
      <w:r w:rsidRPr="004858B2">
        <w:rPr>
          <w:rFonts w:ascii="Palatino Linotype" w:hAnsi="Palatino Linotype" w:cs="Arial"/>
          <w:b/>
          <w:bCs/>
          <w:i/>
        </w:rPr>
        <w:t xml:space="preserve">I. </w:t>
      </w:r>
      <w:r w:rsidRPr="004858B2">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59A686AB" w14:textId="77777777" w:rsidR="00B23F44" w:rsidRPr="004858B2" w:rsidRDefault="00B23F44" w:rsidP="00B23F44">
      <w:pPr>
        <w:autoSpaceDE w:val="0"/>
        <w:autoSpaceDN w:val="0"/>
        <w:adjustRightInd w:val="0"/>
        <w:ind w:left="851" w:right="899"/>
        <w:jc w:val="both"/>
        <w:rPr>
          <w:rFonts w:ascii="Palatino Linotype" w:hAnsi="Palatino Linotype" w:cs="Arial"/>
          <w:i/>
        </w:rPr>
      </w:pPr>
      <w:r w:rsidRPr="004858B2">
        <w:rPr>
          <w:rFonts w:ascii="Palatino Linotype" w:hAnsi="Palatino Linotype" w:cs="Arial"/>
          <w:b/>
          <w:bCs/>
          <w:i/>
        </w:rPr>
        <w:t xml:space="preserve">II. </w:t>
      </w:r>
      <w:r w:rsidRPr="004858B2">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4858B2">
        <w:rPr>
          <w:rFonts w:ascii="Palatino Linotype" w:hAnsi="Palatino Linotype" w:cs="Arial"/>
          <w:b/>
          <w:i/>
        </w:rPr>
        <w:t>o de incompetencia realicen los titulares de las áreas de los sujetos obligados</w:t>
      </w:r>
      <w:r w:rsidRPr="004858B2">
        <w:rPr>
          <w:rFonts w:ascii="Palatino Linotype" w:hAnsi="Palatino Linotype" w:cs="Arial"/>
          <w:i/>
        </w:rPr>
        <w:t>;</w:t>
      </w:r>
    </w:p>
    <w:p w14:paraId="648944BB" w14:textId="07B01BEC" w:rsidR="00B23F44" w:rsidRPr="00CC211E" w:rsidRDefault="00B23F44" w:rsidP="00B23F44">
      <w:pPr>
        <w:autoSpaceDE w:val="0"/>
        <w:autoSpaceDN w:val="0"/>
        <w:adjustRightInd w:val="0"/>
        <w:ind w:left="851" w:right="899"/>
        <w:jc w:val="both"/>
        <w:rPr>
          <w:rFonts w:ascii="Palatino Linotype" w:hAnsi="Palatino Linotype" w:cs="Arial"/>
          <w:b/>
          <w:i/>
        </w:rPr>
      </w:pPr>
      <w:r w:rsidRPr="00C71272">
        <w:rPr>
          <w:rFonts w:ascii="Palatino Linotype" w:hAnsi="Palatino Linotype"/>
          <w:b/>
          <w:bCs/>
          <w:i/>
        </w:rPr>
        <w:t xml:space="preserve">Artículo 167. </w:t>
      </w:r>
      <w:r w:rsidRPr="00C71272">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A965C0">
        <w:rPr>
          <w:rFonts w:ascii="Palatino Linotype" w:hAnsi="Palatino Linotype"/>
          <w:b/>
          <w:i/>
          <w:u w:val="single"/>
        </w:rPr>
        <w:lastRenderedPageBreak/>
        <w:t>en su caso orientar al solicitante, el o los sujetos obligados competentes.</w:t>
      </w:r>
      <w:r w:rsidR="00CC211E">
        <w:rPr>
          <w:rFonts w:ascii="Palatino Linotype" w:hAnsi="Palatino Linotype"/>
          <w:b/>
          <w:i/>
          <w:u w:val="single"/>
        </w:rPr>
        <w:t>”</w:t>
      </w:r>
      <w:r w:rsidR="00CC211E">
        <w:rPr>
          <w:rFonts w:ascii="Palatino Linotype" w:hAnsi="Palatino Linotype"/>
          <w:b/>
          <w:i/>
        </w:rPr>
        <w:t xml:space="preserve"> [Sic]</w:t>
      </w:r>
    </w:p>
    <w:p w14:paraId="3D541CA8" w14:textId="5BB99E74" w:rsidR="00196BF7" w:rsidRPr="006B3076" w:rsidRDefault="00196BF7" w:rsidP="009C0752">
      <w:pPr>
        <w:autoSpaceDE w:val="0"/>
        <w:autoSpaceDN w:val="0"/>
        <w:adjustRightInd w:val="0"/>
        <w:spacing w:before="240" w:line="360" w:lineRule="auto"/>
        <w:jc w:val="both"/>
        <w:rPr>
          <w:rFonts w:ascii="Palatino Linotype" w:hAnsi="Palatino Linotype" w:cs="Arial"/>
          <w:sz w:val="24"/>
          <w:szCs w:val="24"/>
        </w:rPr>
      </w:pPr>
    </w:p>
    <w:p w14:paraId="11AA7A9C" w14:textId="30AFFE86" w:rsidR="0003029B" w:rsidRPr="0003029B" w:rsidRDefault="00BE4347" w:rsidP="009C0752">
      <w:pPr>
        <w:autoSpaceDE w:val="0"/>
        <w:autoSpaceDN w:val="0"/>
        <w:adjustRightInd w:val="0"/>
        <w:spacing w:before="240" w:line="360" w:lineRule="auto"/>
        <w:jc w:val="both"/>
        <w:rPr>
          <w:rFonts w:ascii="Palatino Linotype" w:hAnsi="Palatino Linotype" w:cs="Arial"/>
          <w:sz w:val="24"/>
          <w:szCs w:val="24"/>
        </w:rPr>
      </w:pPr>
      <w:r w:rsidRPr="0003029B">
        <w:rPr>
          <w:rFonts w:ascii="Palatino Linotype" w:hAnsi="Palatino Linotype" w:cs="Arial"/>
          <w:sz w:val="24"/>
          <w:szCs w:val="24"/>
        </w:rPr>
        <w:t xml:space="preserve">Una vez sentado lo anterior, en alusión a los numerales </w:t>
      </w:r>
      <w:r w:rsidRPr="0003029B">
        <w:rPr>
          <w:rFonts w:ascii="Palatino Linotype" w:hAnsi="Palatino Linotype" w:cs="Arial"/>
          <w:b/>
          <w:sz w:val="24"/>
          <w:szCs w:val="24"/>
        </w:rPr>
        <w:t xml:space="preserve">3 </w:t>
      </w:r>
      <w:r w:rsidRPr="0003029B">
        <w:rPr>
          <w:rFonts w:ascii="Palatino Linotype" w:hAnsi="Palatino Linotype" w:cs="Arial"/>
          <w:sz w:val="24"/>
          <w:szCs w:val="24"/>
        </w:rPr>
        <w:t xml:space="preserve">y </w:t>
      </w:r>
      <w:r w:rsidRPr="0003029B">
        <w:rPr>
          <w:rFonts w:ascii="Palatino Linotype" w:hAnsi="Palatino Linotype" w:cs="Arial"/>
          <w:b/>
          <w:sz w:val="24"/>
          <w:szCs w:val="24"/>
        </w:rPr>
        <w:t xml:space="preserve">4 </w:t>
      </w:r>
      <w:r w:rsidRPr="0003029B">
        <w:rPr>
          <w:rFonts w:ascii="Palatino Linotype" w:hAnsi="Palatino Linotype" w:cs="Arial"/>
          <w:sz w:val="24"/>
          <w:szCs w:val="24"/>
        </w:rPr>
        <w:t xml:space="preserve">resulta oportuno mencionar que </w:t>
      </w:r>
      <w:r w:rsidR="00BE4694" w:rsidRPr="0003029B">
        <w:rPr>
          <w:rFonts w:ascii="Palatino Linotype" w:hAnsi="Palatino Linotype" w:cs="Arial"/>
          <w:b/>
          <w:sz w:val="24"/>
          <w:szCs w:val="24"/>
        </w:rPr>
        <w:t xml:space="preserve">El Recurrente </w:t>
      </w:r>
      <w:r w:rsidR="00BE4694" w:rsidRPr="0003029B">
        <w:rPr>
          <w:rFonts w:ascii="Palatino Linotype" w:hAnsi="Palatino Linotype" w:cs="Arial"/>
          <w:sz w:val="24"/>
          <w:szCs w:val="24"/>
        </w:rPr>
        <w:t xml:space="preserve">requirió la cantidad </w:t>
      </w:r>
      <w:r w:rsidR="0003029B" w:rsidRPr="0003029B">
        <w:rPr>
          <w:rFonts w:ascii="Palatino Linotype" w:hAnsi="Palatino Linotype" w:cs="Arial"/>
          <w:sz w:val="24"/>
          <w:szCs w:val="24"/>
        </w:rPr>
        <w:t xml:space="preserve">total </w:t>
      </w:r>
      <w:r w:rsidR="00BE4694" w:rsidRPr="0003029B">
        <w:rPr>
          <w:rFonts w:ascii="Palatino Linotype" w:hAnsi="Palatino Linotype" w:cs="Arial"/>
          <w:sz w:val="24"/>
          <w:szCs w:val="24"/>
        </w:rPr>
        <w:t>de recursos asignados</w:t>
      </w:r>
      <w:r w:rsidR="0003029B" w:rsidRPr="0003029B">
        <w:rPr>
          <w:rFonts w:ascii="Palatino Linotype" w:hAnsi="Palatino Linotype" w:cs="Arial"/>
          <w:sz w:val="24"/>
          <w:szCs w:val="24"/>
        </w:rPr>
        <w:t xml:space="preserve"> en el proceso electoral 2017-2018 para la campaña en el municipio de Villa del Carbón, así como el desglose de gastos de campaña, este último al cinco de junio de dos mil dieciocho. </w:t>
      </w:r>
    </w:p>
    <w:p w14:paraId="07BC439E" w14:textId="68840614" w:rsidR="00BE4694" w:rsidRPr="0003029B" w:rsidRDefault="00E02F35" w:rsidP="009C0752">
      <w:pPr>
        <w:autoSpaceDE w:val="0"/>
        <w:autoSpaceDN w:val="0"/>
        <w:adjustRightInd w:val="0"/>
        <w:spacing w:before="240" w:line="360" w:lineRule="auto"/>
        <w:jc w:val="both"/>
        <w:rPr>
          <w:rFonts w:ascii="Palatino Linotype" w:hAnsi="Palatino Linotype" w:cs="Arial"/>
          <w:sz w:val="24"/>
          <w:szCs w:val="24"/>
        </w:rPr>
      </w:pPr>
      <w:r w:rsidRPr="0003029B">
        <w:rPr>
          <w:rFonts w:ascii="Palatino Linotype" w:hAnsi="Palatino Linotype" w:cs="Arial"/>
          <w:sz w:val="24"/>
          <w:szCs w:val="24"/>
        </w:rPr>
        <w:t xml:space="preserve">Al respecto vale la pena mencionar que de conformidad con la normatividad plasmada previamente </w:t>
      </w:r>
      <w:r w:rsidR="005A797B" w:rsidRPr="0003029B">
        <w:rPr>
          <w:rFonts w:ascii="Palatino Linotype" w:hAnsi="Palatino Linotype" w:cs="Arial"/>
          <w:b/>
          <w:sz w:val="24"/>
          <w:szCs w:val="24"/>
        </w:rPr>
        <w:t xml:space="preserve">El Sujeto Obligado </w:t>
      </w:r>
      <w:r w:rsidR="005A797B" w:rsidRPr="0003029B">
        <w:rPr>
          <w:rFonts w:ascii="Palatino Linotype" w:hAnsi="Palatino Linotype" w:cs="Arial"/>
          <w:sz w:val="24"/>
          <w:szCs w:val="24"/>
        </w:rPr>
        <w:t xml:space="preserve">tiene acceso al erario </w:t>
      </w:r>
      <w:r w:rsidR="008D6629" w:rsidRPr="0003029B">
        <w:rPr>
          <w:rFonts w:ascii="Palatino Linotype" w:hAnsi="Palatino Linotype" w:cs="Arial"/>
          <w:sz w:val="24"/>
          <w:szCs w:val="24"/>
        </w:rPr>
        <w:t>público</w:t>
      </w:r>
      <w:r w:rsidR="005A797B" w:rsidRPr="0003029B">
        <w:rPr>
          <w:rFonts w:ascii="Palatino Linotype" w:hAnsi="Palatino Linotype" w:cs="Arial"/>
          <w:sz w:val="24"/>
          <w:szCs w:val="24"/>
        </w:rPr>
        <w:t xml:space="preserve"> para financiar sus actividades, mismas que se encuentran encauzadas a promover la participación</w:t>
      </w:r>
      <w:r w:rsidR="008D6629" w:rsidRPr="0003029B">
        <w:rPr>
          <w:rFonts w:ascii="Palatino Linotype" w:hAnsi="Palatino Linotype" w:cs="Arial"/>
          <w:sz w:val="24"/>
          <w:szCs w:val="24"/>
        </w:rPr>
        <w:t xml:space="preserve"> electoral </w:t>
      </w:r>
      <w:r w:rsidR="005A797B" w:rsidRPr="0003029B">
        <w:rPr>
          <w:rFonts w:ascii="Palatino Linotype" w:hAnsi="Palatino Linotype" w:cs="Arial"/>
          <w:sz w:val="24"/>
          <w:szCs w:val="24"/>
        </w:rPr>
        <w:t xml:space="preserve">ciudadana. </w:t>
      </w:r>
    </w:p>
    <w:p w14:paraId="04C6B18A" w14:textId="77777777" w:rsidR="00397DF2" w:rsidRPr="0003029B" w:rsidRDefault="005A797B" w:rsidP="009C0752">
      <w:pPr>
        <w:autoSpaceDE w:val="0"/>
        <w:autoSpaceDN w:val="0"/>
        <w:adjustRightInd w:val="0"/>
        <w:spacing w:before="240" w:line="360" w:lineRule="auto"/>
        <w:jc w:val="both"/>
        <w:rPr>
          <w:rFonts w:ascii="Palatino Linotype" w:hAnsi="Palatino Linotype" w:cs="Arial"/>
          <w:sz w:val="24"/>
          <w:szCs w:val="24"/>
        </w:rPr>
      </w:pPr>
      <w:r w:rsidRPr="0003029B">
        <w:rPr>
          <w:rFonts w:ascii="Palatino Linotype" w:hAnsi="Palatino Linotype" w:cs="Arial"/>
          <w:sz w:val="24"/>
          <w:szCs w:val="24"/>
        </w:rPr>
        <w:t xml:space="preserve">Asimismo, </w:t>
      </w:r>
      <w:r w:rsidR="00397DF2" w:rsidRPr="0003029B">
        <w:rPr>
          <w:rFonts w:ascii="Palatino Linotype" w:hAnsi="Palatino Linotype" w:cs="Arial"/>
          <w:sz w:val="24"/>
          <w:szCs w:val="24"/>
        </w:rPr>
        <w:t>se insiste</w:t>
      </w:r>
      <w:r w:rsidRPr="0003029B">
        <w:rPr>
          <w:rFonts w:ascii="Palatino Linotype" w:hAnsi="Palatino Linotype" w:cs="Arial"/>
          <w:sz w:val="24"/>
          <w:szCs w:val="24"/>
        </w:rPr>
        <w:t xml:space="preserve"> </w:t>
      </w:r>
      <w:r w:rsidR="00397DF2" w:rsidRPr="0003029B">
        <w:rPr>
          <w:rFonts w:ascii="Palatino Linotype" w:hAnsi="Palatino Linotype" w:cs="Arial"/>
          <w:sz w:val="24"/>
          <w:szCs w:val="24"/>
        </w:rPr>
        <w:t>en que la esfera competencial del</w:t>
      </w:r>
      <w:r w:rsidR="00397DF2" w:rsidRPr="0003029B">
        <w:rPr>
          <w:rFonts w:ascii="Palatino Linotype" w:hAnsi="Palatino Linotype" w:cs="Arial"/>
          <w:b/>
          <w:sz w:val="24"/>
          <w:szCs w:val="24"/>
        </w:rPr>
        <w:t xml:space="preserve"> Sujeto Obligado </w:t>
      </w:r>
      <w:r w:rsidR="00397DF2" w:rsidRPr="0003029B">
        <w:rPr>
          <w:rFonts w:ascii="Palatino Linotype" w:hAnsi="Palatino Linotype" w:cs="Arial"/>
          <w:sz w:val="24"/>
          <w:szCs w:val="24"/>
        </w:rPr>
        <w:t xml:space="preserve">lo constriñe a informar al órgano electoral competente sobre sus ingresos y gastos, de conformidad con la normatividad aplicable. En este sentido, este órgano garante invariablemente arriba a la conclusión de que </w:t>
      </w:r>
      <w:r w:rsidR="00397DF2" w:rsidRPr="0003029B">
        <w:rPr>
          <w:rFonts w:ascii="Palatino Linotype" w:hAnsi="Palatino Linotype" w:cs="Arial"/>
          <w:b/>
          <w:sz w:val="24"/>
          <w:szCs w:val="24"/>
        </w:rPr>
        <w:t xml:space="preserve">El Sujeto Obligado </w:t>
      </w:r>
      <w:r w:rsidR="00397DF2" w:rsidRPr="0003029B">
        <w:rPr>
          <w:rFonts w:ascii="Palatino Linotype" w:hAnsi="Palatino Linotype" w:cs="Arial"/>
          <w:sz w:val="24"/>
          <w:szCs w:val="24"/>
        </w:rPr>
        <w:t xml:space="preserve">genera, posee y administra la información requerida mediante los numerales </w:t>
      </w:r>
      <w:r w:rsidR="00397DF2" w:rsidRPr="0003029B">
        <w:rPr>
          <w:rFonts w:ascii="Palatino Linotype" w:hAnsi="Palatino Linotype" w:cs="Arial"/>
          <w:b/>
          <w:sz w:val="24"/>
          <w:szCs w:val="24"/>
        </w:rPr>
        <w:t>3</w:t>
      </w:r>
      <w:r w:rsidR="00397DF2" w:rsidRPr="0003029B">
        <w:rPr>
          <w:rFonts w:ascii="Palatino Linotype" w:hAnsi="Palatino Linotype" w:cs="Arial"/>
          <w:sz w:val="24"/>
          <w:szCs w:val="24"/>
        </w:rPr>
        <w:t xml:space="preserve"> y </w:t>
      </w:r>
      <w:r w:rsidR="00397DF2" w:rsidRPr="0003029B">
        <w:rPr>
          <w:rFonts w:ascii="Palatino Linotype" w:hAnsi="Palatino Linotype" w:cs="Arial"/>
          <w:b/>
          <w:sz w:val="24"/>
          <w:szCs w:val="24"/>
        </w:rPr>
        <w:t>4.</w:t>
      </w:r>
      <w:r w:rsidR="00397DF2" w:rsidRPr="0003029B">
        <w:rPr>
          <w:rFonts w:ascii="Palatino Linotype" w:hAnsi="Palatino Linotype" w:cs="Arial"/>
          <w:sz w:val="24"/>
          <w:szCs w:val="24"/>
        </w:rPr>
        <w:t xml:space="preserve"> </w:t>
      </w:r>
    </w:p>
    <w:p w14:paraId="69F98C9C" w14:textId="21D44D26" w:rsidR="00397DF2" w:rsidRDefault="00397DF2" w:rsidP="009C0752">
      <w:pPr>
        <w:autoSpaceDE w:val="0"/>
        <w:autoSpaceDN w:val="0"/>
        <w:adjustRightInd w:val="0"/>
        <w:spacing w:before="240" w:line="360" w:lineRule="auto"/>
        <w:jc w:val="both"/>
        <w:rPr>
          <w:rFonts w:ascii="Palatino Linotype" w:hAnsi="Palatino Linotype" w:cs="Arial"/>
        </w:rPr>
      </w:pPr>
      <w:r w:rsidRPr="0003029B">
        <w:rPr>
          <w:rFonts w:ascii="Palatino Linotype" w:hAnsi="Palatino Linotype" w:cs="Arial"/>
          <w:sz w:val="24"/>
          <w:szCs w:val="24"/>
        </w:rPr>
        <w:t xml:space="preserve">A mayor abundamiento, no resulta desapercibido </w:t>
      </w:r>
      <w:r w:rsidR="0003029B">
        <w:rPr>
          <w:rFonts w:ascii="Palatino Linotype" w:hAnsi="Palatino Linotype" w:cs="Arial"/>
          <w:sz w:val="24"/>
          <w:szCs w:val="24"/>
        </w:rPr>
        <w:t xml:space="preserve">para este Órgano Resolutor </w:t>
      </w:r>
      <w:r w:rsidRPr="0003029B">
        <w:rPr>
          <w:rFonts w:ascii="Palatino Linotype" w:hAnsi="Palatino Linotype" w:cs="Arial"/>
          <w:sz w:val="24"/>
          <w:szCs w:val="24"/>
        </w:rPr>
        <w:t xml:space="preserve">que derivado </w:t>
      </w:r>
      <w:r w:rsidR="008D6629" w:rsidRPr="0003029B">
        <w:rPr>
          <w:rFonts w:ascii="Palatino Linotype" w:hAnsi="Palatino Linotype" w:cs="Arial"/>
          <w:sz w:val="24"/>
          <w:szCs w:val="24"/>
        </w:rPr>
        <w:t>del proceso electoral 2017-2018</w:t>
      </w:r>
      <w:r w:rsidR="00FA3867" w:rsidRPr="0003029B">
        <w:rPr>
          <w:rFonts w:ascii="Palatino Linotype" w:hAnsi="Palatino Linotype" w:cs="Arial"/>
          <w:sz w:val="24"/>
          <w:szCs w:val="24"/>
        </w:rPr>
        <w:t>,</w:t>
      </w:r>
      <w:r w:rsidRPr="0003029B">
        <w:rPr>
          <w:rFonts w:ascii="Palatino Linotype" w:hAnsi="Palatino Linotype" w:cs="Arial"/>
          <w:sz w:val="24"/>
          <w:szCs w:val="24"/>
        </w:rPr>
        <w:t xml:space="preserve"> en el Municipio de Villa del Carbón </w:t>
      </w:r>
      <w:r w:rsidR="00FA3867" w:rsidRPr="0003029B">
        <w:rPr>
          <w:rFonts w:ascii="Palatino Linotype" w:hAnsi="Palatino Linotype" w:cs="Arial"/>
          <w:sz w:val="24"/>
          <w:szCs w:val="24"/>
        </w:rPr>
        <w:t xml:space="preserve">se asignaron y erogaron recursos con motivo de </w:t>
      </w:r>
      <w:r w:rsidR="00CC211E">
        <w:rPr>
          <w:rFonts w:ascii="Palatino Linotype" w:hAnsi="Palatino Linotype" w:cs="Arial"/>
          <w:sz w:val="24"/>
          <w:szCs w:val="24"/>
        </w:rPr>
        <w:t xml:space="preserve">las campañas para </w:t>
      </w:r>
      <w:r w:rsidR="00FA3867" w:rsidRPr="0003029B">
        <w:rPr>
          <w:rFonts w:ascii="Palatino Linotype" w:hAnsi="Palatino Linotype" w:cs="Arial"/>
          <w:sz w:val="24"/>
          <w:szCs w:val="24"/>
        </w:rPr>
        <w:t xml:space="preserve">la renovación </w:t>
      </w:r>
      <w:r w:rsidR="00CC211E">
        <w:rPr>
          <w:rFonts w:ascii="Palatino Linotype" w:hAnsi="Palatino Linotype" w:cs="Arial"/>
          <w:sz w:val="24"/>
          <w:szCs w:val="24"/>
        </w:rPr>
        <w:t>del ayuntamiento</w:t>
      </w:r>
      <w:r w:rsidR="00FA3867" w:rsidRPr="0003029B">
        <w:rPr>
          <w:rFonts w:ascii="Palatino Linotype" w:hAnsi="Palatino Linotype" w:cs="Arial"/>
          <w:sz w:val="24"/>
          <w:szCs w:val="24"/>
        </w:rPr>
        <w:t xml:space="preserve">, así como la elección de un diputado </w:t>
      </w:r>
      <w:r w:rsidR="00CC211E">
        <w:rPr>
          <w:rFonts w:ascii="Palatino Linotype" w:hAnsi="Palatino Linotype" w:cs="Arial"/>
          <w:sz w:val="24"/>
          <w:szCs w:val="24"/>
        </w:rPr>
        <w:t xml:space="preserve">en la cámara </w:t>
      </w:r>
      <w:r w:rsidR="00FA3867" w:rsidRPr="0003029B">
        <w:rPr>
          <w:rFonts w:ascii="Palatino Linotype" w:hAnsi="Palatino Linotype" w:cs="Arial"/>
          <w:sz w:val="24"/>
          <w:szCs w:val="24"/>
        </w:rPr>
        <w:t xml:space="preserve">local, por ello, </w:t>
      </w:r>
      <w:r w:rsidR="00FA3867" w:rsidRPr="0003029B">
        <w:rPr>
          <w:rFonts w:ascii="Palatino Linotype" w:hAnsi="Palatino Linotype" w:cs="Arial"/>
          <w:b/>
          <w:sz w:val="24"/>
          <w:szCs w:val="24"/>
        </w:rPr>
        <w:t xml:space="preserve">El Sujeto Obligado </w:t>
      </w:r>
      <w:r w:rsidR="00FA3867" w:rsidRPr="0003029B">
        <w:rPr>
          <w:rFonts w:ascii="Palatino Linotype" w:hAnsi="Palatino Linotype" w:cs="Arial"/>
          <w:sz w:val="24"/>
          <w:szCs w:val="24"/>
        </w:rPr>
        <w:t xml:space="preserve">esta constreñido a entregar la información requerida mediante los </w:t>
      </w:r>
      <w:r w:rsidR="00FA3867" w:rsidRPr="0003029B">
        <w:rPr>
          <w:rFonts w:ascii="Palatino Linotype" w:hAnsi="Palatino Linotype" w:cs="Arial"/>
          <w:sz w:val="24"/>
          <w:szCs w:val="24"/>
        </w:rPr>
        <w:lastRenderedPageBreak/>
        <w:t xml:space="preserve">numerales </w:t>
      </w:r>
      <w:r w:rsidR="00FA3867" w:rsidRPr="0003029B">
        <w:rPr>
          <w:rFonts w:ascii="Palatino Linotype" w:hAnsi="Palatino Linotype" w:cs="Arial"/>
          <w:b/>
          <w:sz w:val="24"/>
          <w:szCs w:val="24"/>
        </w:rPr>
        <w:t xml:space="preserve">3 </w:t>
      </w:r>
      <w:r w:rsidR="00FA3867" w:rsidRPr="0003029B">
        <w:rPr>
          <w:rFonts w:ascii="Palatino Linotype" w:hAnsi="Palatino Linotype" w:cs="Arial"/>
          <w:sz w:val="24"/>
          <w:szCs w:val="24"/>
        </w:rPr>
        <w:t xml:space="preserve">y </w:t>
      </w:r>
      <w:r w:rsidR="00FA3867" w:rsidRPr="0003029B">
        <w:rPr>
          <w:rFonts w:ascii="Palatino Linotype" w:hAnsi="Palatino Linotype" w:cs="Arial"/>
          <w:b/>
          <w:sz w:val="24"/>
          <w:szCs w:val="24"/>
        </w:rPr>
        <w:t>4</w:t>
      </w:r>
      <w:r w:rsidR="00FA3867" w:rsidRPr="0003029B">
        <w:rPr>
          <w:rFonts w:ascii="Palatino Linotype" w:hAnsi="Palatino Linotype" w:cs="Arial"/>
          <w:sz w:val="24"/>
          <w:szCs w:val="24"/>
        </w:rPr>
        <w:t>, de ser</w:t>
      </w:r>
      <w:r w:rsidR="00CC211E">
        <w:rPr>
          <w:rFonts w:ascii="Palatino Linotype" w:hAnsi="Palatino Linotype" w:cs="Arial"/>
          <w:sz w:val="24"/>
          <w:szCs w:val="24"/>
        </w:rPr>
        <w:t xml:space="preserve"> procedente en versión pública, acompañada del acuerdo de clasificación correspondiente. </w:t>
      </w:r>
    </w:p>
    <w:p w14:paraId="0E931FA2" w14:textId="1B05096B" w:rsidR="008D6629" w:rsidRDefault="008D6629" w:rsidP="009C0752">
      <w:pPr>
        <w:autoSpaceDE w:val="0"/>
        <w:autoSpaceDN w:val="0"/>
        <w:adjustRightInd w:val="0"/>
        <w:spacing w:before="240" w:line="360" w:lineRule="auto"/>
        <w:jc w:val="both"/>
        <w:rPr>
          <w:rFonts w:ascii="Palatino Linotype" w:hAnsi="Palatino Linotype" w:cs="Arial"/>
        </w:rPr>
      </w:pPr>
    </w:p>
    <w:p w14:paraId="4BF79763" w14:textId="1EF4A8F5" w:rsidR="00FA3867" w:rsidRDefault="00FA3867" w:rsidP="008C6D9D">
      <w:pPr>
        <w:pStyle w:val="Prrafodelista"/>
        <w:numPr>
          <w:ilvl w:val="0"/>
          <w:numId w:val="37"/>
        </w:numPr>
        <w:tabs>
          <w:tab w:val="left" w:pos="709"/>
        </w:tabs>
        <w:spacing w:before="240" w:line="360" w:lineRule="auto"/>
        <w:jc w:val="both"/>
        <w:rPr>
          <w:rFonts w:ascii="Palatino Linotype" w:hAnsi="Palatino Linotype"/>
          <w:b/>
          <w:sz w:val="28"/>
        </w:rPr>
      </w:pPr>
      <w:r w:rsidRPr="008C6D9D">
        <w:rPr>
          <w:rFonts w:ascii="Palatino Linotype" w:hAnsi="Palatino Linotype"/>
          <w:b/>
          <w:sz w:val="28"/>
        </w:rPr>
        <w:t>Versión pública</w:t>
      </w:r>
    </w:p>
    <w:p w14:paraId="330D2F4F" w14:textId="77777777" w:rsidR="008C6D9D" w:rsidRPr="008C6D9D" w:rsidRDefault="008C6D9D" w:rsidP="008C6D9D">
      <w:pPr>
        <w:pStyle w:val="Prrafodelista"/>
        <w:tabs>
          <w:tab w:val="left" w:pos="709"/>
        </w:tabs>
        <w:spacing w:before="240" w:line="360" w:lineRule="auto"/>
        <w:ind w:left="780"/>
        <w:jc w:val="both"/>
        <w:rPr>
          <w:rFonts w:ascii="Palatino Linotype" w:hAnsi="Palatino Linotype"/>
          <w:b/>
          <w:sz w:val="28"/>
        </w:rPr>
      </w:pPr>
    </w:p>
    <w:p w14:paraId="74778BC6" w14:textId="77777777" w:rsidR="00FA3867" w:rsidRPr="00E644F4" w:rsidRDefault="00FA3867" w:rsidP="00FA3867">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14:paraId="293A30D4" w14:textId="77777777" w:rsidR="00FA3867" w:rsidRPr="00E644F4" w:rsidRDefault="00FA3867" w:rsidP="00FA3867">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Resulta oportuno precisar que las versiones públicas deben de acompañarse del Acuerdo del Comité de Transparencia del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que la sustente, en el que se plasmen los argumentos, fundamentos y razones que llevaron al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386FFF45" w14:textId="77777777" w:rsidR="00FA3867" w:rsidRPr="00E644F4" w:rsidRDefault="00FA3867" w:rsidP="00FA3867">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14:paraId="3BA0D421"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3. </w:t>
      </w:r>
      <w:r w:rsidRPr="00FB7193">
        <w:rPr>
          <w:rFonts w:ascii="Palatino Linotype" w:hAnsi="Palatino Linotype" w:cs="Arial"/>
          <w:i/>
          <w:sz w:val="22"/>
          <w:szCs w:val="22"/>
        </w:rPr>
        <w:t xml:space="preserve">Para los efectos de la presente Ley se entenderá por: </w:t>
      </w:r>
    </w:p>
    <w:p w14:paraId="23F6DC91"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lastRenderedPageBreak/>
        <w:t>(</w:t>
      </w:r>
      <w:r w:rsidRPr="00FB7193">
        <w:rPr>
          <w:rFonts w:ascii="Palatino Linotype" w:hAnsi="Palatino Linotype" w:cs="Arial"/>
          <w:b/>
          <w:i/>
          <w:sz w:val="22"/>
          <w:szCs w:val="22"/>
        </w:rPr>
        <w:t xml:space="preserve">…) </w:t>
      </w:r>
    </w:p>
    <w:p w14:paraId="507873B4"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IX. Datos personales: </w:t>
      </w:r>
      <w:r w:rsidRPr="00FB719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37FB8FBE"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48C62D36"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 XLV. Versión pública: </w:t>
      </w:r>
      <w:r w:rsidRPr="00FB7193">
        <w:rPr>
          <w:rFonts w:ascii="Palatino Linotype" w:hAnsi="Palatino Linotype" w:cs="Arial"/>
          <w:i/>
          <w:sz w:val="22"/>
          <w:szCs w:val="22"/>
        </w:rPr>
        <w:t xml:space="preserve">Documento en el que se elimine, suprime o borra la información clasificada como reservada o confidencial para permitir su acceso. </w:t>
      </w:r>
    </w:p>
    <w:p w14:paraId="75C14B81"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49. </w:t>
      </w:r>
      <w:r w:rsidRPr="00FB7193">
        <w:rPr>
          <w:rFonts w:ascii="Palatino Linotype" w:hAnsi="Palatino Linotype" w:cs="Arial"/>
          <w:i/>
          <w:sz w:val="22"/>
          <w:szCs w:val="22"/>
        </w:rPr>
        <w:t xml:space="preserve">Los Comités de Transparencia tendrán las siguientes atribuciones: </w:t>
      </w:r>
    </w:p>
    <w:p w14:paraId="137A7A5E"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 xml:space="preserve">(…) </w:t>
      </w:r>
    </w:p>
    <w:p w14:paraId="5CB52E34"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VIII. </w:t>
      </w:r>
      <w:r w:rsidRPr="00FB7193">
        <w:rPr>
          <w:rFonts w:ascii="Palatino Linotype" w:hAnsi="Palatino Linotype" w:cs="Arial"/>
          <w:b/>
          <w:i/>
          <w:sz w:val="22"/>
          <w:szCs w:val="22"/>
        </w:rPr>
        <w:tab/>
        <w:t xml:space="preserve">   </w:t>
      </w:r>
      <w:r w:rsidRPr="00FB7193">
        <w:rPr>
          <w:rFonts w:ascii="Palatino Linotype" w:hAnsi="Palatino Linotype" w:cs="Arial"/>
          <w:i/>
          <w:sz w:val="22"/>
          <w:szCs w:val="22"/>
        </w:rPr>
        <w:t>Aprobar, modificar o revocar la clasificación de la información</w:t>
      </w:r>
    </w:p>
    <w:p w14:paraId="2DBA7ABA"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122.</w:t>
      </w:r>
      <w:r w:rsidRPr="00FB7193">
        <w:rPr>
          <w:rFonts w:ascii="Palatino Linotype" w:hAnsi="Palatino Linotype" w:cs="Arial"/>
          <w:i/>
          <w:sz w:val="22"/>
          <w:szCs w:val="22"/>
        </w:rPr>
        <w:t xml:space="preserve"> La clasificación es el proceso mediante el cual el sujeto obligado determina que la información en su poder </w:t>
      </w:r>
      <w:proofErr w:type="spellStart"/>
      <w:r w:rsidRPr="00FB7193">
        <w:rPr>
          <w:rFonts w:ascii="Palatino Linotype" w:hAnsi="Palatino Linotype" w:cs="Arial"/>
          <w:i/>
          <w:sz w:val="22"/>
          <w:szCs w:val="22"/>
        </w:rPr>
        <w:t>actualiza</w:t>
      </w:r>
      <w:proofErr w:type="spellEnd"/>
      <w:r w:rsidRPr="00FB7193">
        <w:rPr>
          <w:rFonts w:ascii="Palatino Linotype" w:hAnsi="Palatino Linotype" w:cs="Arial"/>
          <w:i/>
          <w:sz w:val="22"/>
          <w:szCs w:val="22"/>
        </w:rPr>
        <w:t xml:space="preserve"> alguno de los supuestos de reserva o confidencialidad, de conformidad con lo dispuesto en el presente título.</w:t>
      </w:r>
    </w:p>
    <w:p w14:paraId="6602F262"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1A197804"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132.</w:t>
      </w:r>
      <w:r w:rsidRPr="00FB7193">
        <w:rPr>
          <w:rFonts w:ascii="Palatino Linotype" w:hAnsi="Palatino Linotype" w:cs="Arial"/>
          <w:i/>
          <w:sz w:val="22"/>
          <w:szCs w:val="22"/>
        </w:rPr>
        <w:t xml:space="preserve"> La clasificación de la información se llevará a cabo en el momento en que:</w:t>
      </w:r>
    </w:p>
    <w:p w14:paraId="5E1DDFD5"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3B20D8ED" w14:textId="77777777" w:rsidR="00FA3867" w:rsidRPr="00FB7193" w:rsidRDefault="00FA3867" w:rsidP="00FA3867">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t>II. Se determine mediante resolución de autoridad competente; o</w:t>
      </w:r>
      <w:r>
        <w:rPr>
          <w:rFonts w:ascii="Palatino Linotype" w:hAnsi="Palatino Linotype" w:cs="Arial"/>
          <w:i/>
          <w:sz w:val="22"/>
          <w:szCs w:val="22"/>
        </w:rPr>
        <w:t xml:space="preserve"> </w:t>
      </w:r>
      <w:r w:rsidRPr="00FB7193">
        <w:rPr>
          <w:rFonts w:ascii="Palatino Linotype" w:hAnsi="Palatino Linotype" w:cs="Arial"/>
          <w:b/>
          <w:i/>
          <w:sz w:val="22"/>
          <w:szCs w:val="22"/>
        </w:rPr>
        <w:t>(…)” [Sic]</w:t>
      </w:r>
    </w:p>
    <w:p w14:paraId="762EE12C" w14:textId="77777777" w:rsidR="00FA3867" w:rsidRPr="000343B8" w:rsidRDefault="00FA3867" w:rsidP="00FA3867">
      <w:pPr>
        <w:pStyle w:val="Prrafodelista"/>
        <w:spacing w:line="360" w:lineRule="auto"/>
        <w:ind w:left="720" w:right="51"/>
        <w:jc w:val="both"/>
        <w:rPr>
          <w:rFonts w:ascii="Palatino Linotype" w:hAnsi="Palatino Linotype" w:cs="Arial"/>
          <w:highlight w:val="green"/>
        </w:rPr>
      </w:pPr>
    </w:p>
    <w:p w14:paraId="7F815675" w14:textId="77777777" w:rsidR="00FA3867" w:rsidRDefault="00FA3867" w:rsidP="00FA3867">
      <w:pPr>
        <w:spacing w:line="360" w:lineRule="auto"/>
        <w:ind w:right="51"/>
        <w:jc w:val="both"/>
        <w:rPr>
          <w:rFonts w:ascii="Palatino Linotype" w:hAnsi="Palatino Linotype" w:cs="Arial"/>
          <w:sz w:val="24"/>
          <w:szCs w:val="24"/>
        </w:rPr>
      </w:pPr>
      <w:r w:rsidRPr="00E644F4">
        <w:rPr>
          <w:rFonts w:ascii="Palatino Linotype" w:hAnsi="Palatino Linotype" w:cs="Arial"/>
          <w:sz w:val="24"/>
          <w:szCs w:val="24"/>
        </w:rPr>
        <w:lastRenderedPageBreak/>
        <w:t xml:space="preserve">Por ende, resulta necesario que el Comité de Transparencia del </w:t>
      </w:r>
      <w:r w:rsidRPr="00E644F4">
        <w:rPr>
          <w:rFonts w:ascii="Palatino Linotype" w:hAnsi="Palatino Linotype" w:cs="Arial"/>
          <w:b/>
          <w:sz w:val="24"/>
          <w:szCs w:val="24"/>
        </w:rPr>
        <w:t>Sujeto Obligado</w:t>
      </w:r>
      <w:r w:rsidRPr="00E644F4">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A7B89B1" w14:textId="3817D56A" w:rsidR="00FA3867" w:rsidRPr="00E33BA9" w:rsidRDefault="00FA3867" w:rsidP="00FA3867">
      <w:pPr>
        <w:spacing w:after="0" w:line="360" w:lineRule="auto"/>
        <w:jc w:val="both"/>
        <w:rPr>
          <w:rFonts w:ascii="Palatino Linotype" w:hAnsi="Palatino Linotype" w:cs="Arial"/>
          <w:b/>
          <w:sz w:val="24"/>
          <w:szCs w:val="24"/>
        </w:rPr>
      </w:pPr>
      <w:r w:rsidRPr="00790CEC">
        <w:rPr>
          <w:rFonts w:ascii="Palatino Linotype" w:hAnsi="Palatino Linotype" w:cs="Arial"/>
          <w:sz w:val="24"/>
          <w:szCs w:val="24"/>
        </w:rPr>
        <w:t>Finalmente se concluye que resultan fundado</w:t>
      </w:r>
      <w:r>
        <w:rPr>
          <w:rFonts w:ascii="Palatino Linotype" w:hAnsi="Palatino Linotype" w:cs="Arial"/>
          <w:sz w:val="24"/>
          <w:szCs w:val="24"/>
        </w:rPr>
        <w:t xml:space="preserve">s </w:t>
      </w:r>
      <w:r w:rsidRPr="00790CEC">
        <w:rPr>
          <w:rFonts w:ascii="Palatino Linotype" w:hAnsi="Palatino Linotype" w:cs="Arial"/>
          <w:sz w:val="24"/>
          <w:szCs w:val="24"/>
        </w:rPr>
        <w:t xml:space="preserve">los motivos y/o razones de inconformidad hechos valer por </w:t>
      </w:r>
      <w:r>
        <w:rPr>
          <w:rFonts w:ascii="Palatino Linotype" w:hAnsi="Palatino Linotype" w:cs="Arial"/>
          <w:b/>
          <w:sz w:val="24"/>
          <w:szCs w:val="24"/>
        </w:rPr>
        <w:t>El</w:t>
      </w:r>
      <w:r w:rsidRPr="00790CEC">
        <w:rPr>
          <w:rFonts w:ascii="Palatino Linotype" w:hAnsi="Palatino Linotype" w:cs="Arial"/>
          <w:sz w:val="24"/>
          <w:szCs w:val="24"/>
        </w:rPr>
        <w:t xml:space="preserve"> </w:t>
      </w:r>
      <w:r>
        <w:rPr>
          <w:rFonts w:ascii="Palatino Linotype" w:hAnsi="Palatino Linotype" w:cs="Arial"/>
          <w:b/>
          <w:sz w:val="24"/>
          <w:szCs w:val="24"/>
        </w:rPr>
        <w:t>R</w:t>
      </w:r>
      <w:r w:rsidRPr="00B97976">
        <w:rPr>
          <w:rFonts w:ascii="Palatino Linotype" w:hAnsi="Palatino Linotype" w:cs="Arial"/>
          <w:b/>
          <w:sz w:val="24"/>
          <w:szCs w:val="24"/>
        </w:rPr>
        <w:t>ecurrente</w:t>
      </w:r>
      <w:r w:rsidRPr="00790CEC">
        <w:rPr>
          <w:rFonts w:ascii="Palatino Linotype" w:hAnsi="Palatino Linotype" w:cs="Arial"/>
          <w:sz w:val="24"/>
          <w:szCs w:val="24"/>
        </w:rPr>
        <w:t>, por ello con fundamento en</w:t>
      </w:r>
      <w:r>
        <w:rPr>
          <w:rFonts w:ascii="Palatino Linotype" w:hAnsi="Palatino Linotype" w:cs="Arial"/>
          <w:sz w:val="24"/>
          <w:szCs w:val="24"/>
        </w:rPr>
        <w:t xml:space="preserve"> la primera hipótesis d</w:t>
      </w:r>
      <w:r w:rsidRPr="00790CEC">
        <w:rPr>
          <w:rFonts w:ascii="Palatino Linotype" w:hAnsi="Palatino Linotype" w:cs="Arial"/>
          <w:sz w:val="24"/>
          <w:szCs w:val="24"/>
        </w:rPr>
        <w:t>e</w:t>
      </w:r>
      <w:r>
        <w:rPr>
          <w:rFonts w:ascii="Palatino Linotype" w:hAnsi="Palatino Linotype" w:cs="Arial"/>
          <w:sz w:val="24"/>
          <w:szCs w:val="24"/>
        </w:rPr>
        <w:t xml:space="preserve"> </w:t>
      </w:r>
      <w:r w:rsidRPr="00790CEC">
        <w:rPr>
          <w:rFonts w:ascii="Palatino Linotype" w:hAnsi="Palatino Linotype" w:cs="Arial"/>
          <w:sz w:val="24"/>
          <w:szCs w:val="24"/>
        </w:rPr>
        <w:t>l</w:t>
      </w:r>
      <w:r>
        <w:rPr>
          <w:rFonts w:ascii="Palatino Linotype" w:hAnsi="Palatino Linotype" w:cs="Arial"/>
          <w:sz w:val="24"/>
          <w:szCs w:val="24"/>
        </w:rPr>
        <w:t>a fracción IV del</w:t>
      </w:r>
      <w:r w:rsidRPr="00790CEC">
        <w:rPr>
          <w:rFonts w:ascii="Palatino Linotype" w:hAnsi="Palatino Linotype" w:cs="Arial"/>
          <w:sz w:val="24"/>
          <w:szCs w:val="24"/>
        </w:rPr>
        <w:t xml:space="preserve"> artículo 186 de la Ley de Transparencia y Acceso a la Información Pública del Estado de México y Municipios, se </w:t>
      </w:r>
      <w:r>
        <w:rPr>
          <w:rFonts w:ascii="Palatino Linotype" w:hAnsi="Palatino Linotype" w:cs="Arial"/>
          <w:b/>
          <w:sz w:val="24"/>
          <w:szCs w:val="24"/>
        </w:rPr>
        <w:t>ordena dar</w:t>
      </w:r>
      <w:r w:rsidRPr="00790CEC">
        <w:rPr>
          <w:rFonts w:ascii="Palatino Linotype" w:hAnsi="Palatino Linotype" w:cs="Arial"/>
          <w:sz w:val="24"/>
          <w:szCs w:val="24"/>
        </w:rPr>
        <w:t xml:space="preserve"> respuesta </w:t>
      </w:r>
      <w:r>
        <w:rPr>
          <w:rFonts w:ascii="Palatino Linotype" w:hAnsi="Palatino Linotype" w:cs="Arial"/>
          <w:sz w:val="24"/>
          <w:szCs w:val="24"/>
        </w:rPr>
        <w:t xml:space="preserve">a la solicitud de información número </w:t>
      </w:r>
      <w:r w:rsidR="003740F0">
        <w:rPr>
          <w:rFonts w:ascii="Palatino Linotype" w:hAnsi="Palatino Linotype" w:cs="Arial"/>
          <w:b/>
          <w:sz w:val="24"/>
          <w:szCs w:val="24"/>
        </w:rPr>
        <w:t>00048/PMOR/IP/2018</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CUARTO.</w:t>
      </w:r>
    </w:p>
    <w:p w14:paraId="405DFEC7" w14:textId="77777777" w:rsidR="00FA3867" w:rsidRDefault="00FA3867" w:rsidP="00FA3867">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5FFA366D" w14:textId="77777777" w:rsidR="00327A1D" w:rsidRDefault="00327A1D" w:rsidP="00FA3867">
      <w:pPr>
        <w:spacing w:after="0" w:line="360" w:lineRule="auto"/>
        <w:ind w:right="-234" w:firstLine="567"/>
        <w:jc w:val="center"/>
        <w:rPr>
          <w:rFonts w:ascii="Palatino Linotype" w:hAnsi="Palatino Linotype"/>
          <w:b/>
          <w:sz w:val="24"/>
          <w:szCs w:val="24"/>
          <w:lang w:val="pt-BR"/>
        </w:rPr>
      </w:pPr>
    </w:p>
    <w:p w14:paraId="5913AD90" w14:textId="77777777" w:rsidR="00FA3867" w:rsidRPr="004C510E" w:rsidRDefault="00FA3867" w:rsidP="00FA3867">
      <w:pPr>
        <w:spacing w:after="0" w:line="360" w:lineRule="auto"/>
        <w:ind w:right="-234" w:firstLine="567"/>
        <w:jc w:val="center"/>
        <w:rPr>
          <w:rFonts w:ascii="Palatino Linotype" w:hAnsi="Palatino Linotype"/>
          <w:b/>
          <w:sz w:val="24"/>
          <w:szCs w:val="24"/>
          <w:lang w:val="pt-BR"/>
        </w:rPr>
      </w:pP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62F64008" w14:textId="77777777" w:rsidR="00FA3867" w:rsidRPr="004C510E" w:rsidRDefault="00FA3867" w:rsidP="00FA3867">
      <w:pPr>
        <w:spacing w:after="0" w:line="360" w:lineRule="auto"/>
        <w:ind w:right="-234" w:firstLine="567"/>
        <w:jc w:val="center"/>
        <w:rPr>
          <w:rFonts w:ascii="Palatino Linotype" w:hAnsi="Palatino Linotype"/>
          <w:b/>
          <w:sz w:val="24"/>
          <w:szCs w:val="24"/>
          <w:lang w:val="pt-BR"/>
        </w:rPr>
      </w:pPr>
    </w:p>
    <w:p w14:paraId="1C036121" w14:textId="4C77FBF4" w:rsidR="00FA3867" w:rsidRDefault="00FA3867" w:rsidP="00FA3867">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3740F0">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6C665419" w14:textId="5F14B269" w:rsidR="00FA3867" w:rsidRPr="008D6629" w:rsidRDefault="00FA3867" w:rsidP="00FA3867">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lastRenderedPageBreak/>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562DA8">
        <w:rPr>
          <w:rFonts w:ascii="Palatino Linotype" w:hAnsi="Palatino Linotype" w:cs="Arial"/>
          <w:b/>
          <w:sz w:val="24"/>
          <w:szCs w:val="24"/>
        </w:rPr>
        <w:t>00048/PMOR</w:t>
      </w:r>
      <w:r>
        <w:rPr>
          <w:rFonts w:ascii="Palatino Linotype" w:hAnsi="Palatino Linotype" w:cs="Arial"/>
          <w:b/>
          <w:sz w:val="24"/>
          <w:szCs w:val="24"/>
        </w:rPr>
        <w:t>/IP/2018</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sidR="00562DA8">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sidR="00562DA8">
        <w:rPr>
          <w:rFonts w:ascii="Palatino Linotype" w:eastAsia="Times New Roman" w:hAnsi="Palatino Linotype" w:cs="Arial"/>
          <w:sz w:val="24"/>
          <w:szCs w:val="24"/>
        </w:rPr>
        <w:t xml:space="preserve">de ser procedente </w:t>
      </w:r>
      <w:r>
        <w:rPr>
          <w:rFonts w:ascii="Palatino Linotype" w:eastAsia="Times New Roman" w:hAnsi="Palatino Linotype" w:cs="Arial"/>
          <w:sz w:val="24"/>
          <w:szCs w:val="24"/>
        </w:rPr>
        <w:t xml:space="preserve">en versión pública, a través del </w:t>
      </w:r>
      <w:r w:rsidR="008D6629">
        <w:rPr>
          <w:rFonts w:ascii="Palatino Linotype" w:eastAsia="Times New Roman" w:hAnsi="Palatino Linotype" w:cs="Arial"/>
          <w:b/>
          <w:sz w:val="24"/>
          <w:szCs w:val="24"/>
        </w:rPr>
        <w:t xml:space="preserve">SAIMEX, </w:t>
      </w:r>
      <w:r w:rsidR="008D6629">
        <w:rPr>
          <w:rFonts w:ascii="Palatino Linotype" w:eastAsia="Times New Roman" w:hAnsi="Palatino Linotype" w:cs="Arial"/>
          <w:sz w:val="24"/>
          <w:szCs w:val="24"/>
        </w:rPr>
        <w:t xml:space="preserve">del o los documentos donde conste la siguiente información: </w:t>
      </w:r>
    </w:p>
    <w:p w14:paraId="2CB52A7C" w14:textId="79353585" w:rsidR="00FA3867" w:rsidRDefault="008D6629" w:rsidP="00FA3867">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 xml:space="preserve">Cantidad total de recursos asignados en el proceso electoral 2017-2018 para la campaña en el distrito </w:t>
      </w:r>
      <w:r w:rsidR="00934C9B">
        <w:rPr>
          <w:rFonts w:ascii="Palatino Linotype" w:hAnsi="Palatino Linotype" w:cs="Arial"/>
        </w:rPr>
        <w:t xml:space="preserve">electoral </w:t>
      </w:r>
      <w:r>
        <w:rPr>
          <w:rFonts w:ascii="Palatino Linotype" w:hAnsi="Palatino Linotype" w:cs="Arial"/>
        </w:rPr>
        <w:t xml:space="preserve"> federal </w:t>
      </w:r>
      <w:r w:rsidR="00934C9B">
        <w:rPr>
          <w:rFonts w:ascii="Palatino Linotype" w:hAnsi="Palatino Linotype" w:cs="Arial"/>
        </w:rPr>
        <w:t xml:space="preserve">1 </w:t>
      </w:r>
      <w:r>
        <w:rPr>
          <w:rFonts w:ascii="Palatino Linotype" w:hAnsi="Palatino Linotype" w:cs="Arial"/>
        </w:rPr>
        <w:t xml:space="preserve">del Estado de México. </w:t>
      </w:r>
    </w:p>
    <w:p w14:paraId="3D2BA400" w14:textId="13708E8F" w:rsidR="00FA3867" w:rsidRDefault="008D6629" w:rsidP="00FA3867">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Desglose de gastos en el proceso electoral 2017-2018 p</w:t>
      </w:r>
      <w:r w:rsidR="00934C9B">
        <w:rPr>
          <w:rFonts w:ascii="Palatino Linotype" w:hAnsi="Palatino Linotype" w:cs="Arial"/>
        </w:rPr>
        <w:t xml:space="preserve">ara la campaña en el distrito electoral </w:t>
      </w:r>
      <w:r>
        <w:rPr>
          <w:rFonts w:ascii="Palatino Linotype" w:hAnsi="Palatino Linotype" w:cs="Arial"/>
        </w:rPr>
        <w:t xml:space="preserve">federal </w:t>
      </w:r>
      <w:r w:rsidR="00934C9B">
        <w:rPr>
          <w:rFonts w:ascii="Palatino Linotype" w:hAnsi="Palatino Linotype" w:cs="Arial"/>
        </w:rPr>
        <w:t xml:space="preserve">1 </w:t>
      </w:r>
      <w:r>
        <w:rPr>
          <w:rFonts w:ascii="Palatino Linotype" w:hAnsi="Palatino Linotype" w:cs="Arial"/>
        </w:rPr>
        <w:t xml:space="preserve">del Estado de México, al cinco de junio de dos mil dieciocho. </w:t>
      </w:r>
    </w:p>
    <w:p w14:paraId="4E3F5C61" w14:textId="538E72DE" w:rsidR="00FA3867" w:rsidRDefault="008D6629" w:rsidP="00FA3867">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Cantidad total de recursos asignados en el proceso electoral 2017-2018 para la campaña en el municipio de Villa de</w:t>
      </w:r>
      <w:r w:rsidR="0003029B">
        <w:rPr>
          <w:rFonts w:ascii="Palatino Linotype" w:hAnsi="Palatino Linotype" w:cs="Arial"/>
        </w:rPr>
        <w:t>l</w:t>
      </w:r>
      <w:r>
        <w:rPr>
          <w:rFonts w:ascii="Palatino Linotype" w:hAnsi="Palatino Linotype" w:cs="Arial"/>
        </w:rPr>
        <w:t xml:space="preserve"> Carbón. </w:t>
      </w:r>
    </w:p>
    <w:p w14:paraId="6FC7E0E8" w14:textId="1AD9A2B7" w:rsidR="00FA3867" w:rsidRDefault="008D6629" w:rsidP="00FA3867">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Desglose de gastos en el proceso electoral 2017-2018 para la campaña en el municipio de Villa de</w:t>
      </w:r>
      <w:r w:rsidR="0003029B">
        <w:rPr>
          <w:rFonts w:ascii="Palatino Linotype" w:hAnsi="Palatino Linotype" w:cs="Arial"/>
        </w:rPr>
        <w:t>l</w:t>
      </w:r>
      <w:r>
        <w:rPr>
          <w:rFonts w:ascii="Palatino Linotype" w:hAnsi="Palatino Linotype" w:cs="Arial"/>
        </w:rPr>
        <w:t xml:space="preserve"> Carbón, al cinco de junio de dos mil dieciocho. </w:t>
      </w:r>
    </w:p>
    <w:p w14:paraId="14F168B4" w14:textId="3201F9B8" w:rsidR="00FA3867" w:rsidRPr="00FA3867" w:rsidRDefault="00FA3867" w:rsidP="00FA3867">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sidR="00562DA8">
        <w:rPr>
          <w:rFonts w:ascii="Palatino Linotype" w:hAnsi="Palatino Linotype" w:cs="Arial"/>
          <w:i/>
        </w:rPr>
        <w:t xml:space="preserve">no haya generado, poseído o administrado la información relativa a los puntos 1 y 2 por no resultar ámbito de su competencia, bastará con que entregue el acuerdo que emita el Comité de Transparencia en el que se confirme la declaración de incompetencia respecto de la información solicitada. </w:t>
      </w:r>
    </w:p>
    <w:p w14:paraId="3B6AC9BF" w14:textId="77777777" w:rsidR="00FA3867" w:rsidRPr="00C56A1A" w:rsidRDefault="00FA3867" w:rsidP="00562DA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6E3A5CF4" w14:textId="77777777" w:rsidR="00FA3867" w:rsidRDefault="00FA3867" w:rsidP="00FA3867">
      <w:pPr>
        <w:pStyle w:val="Prrafodelista"/>
        <w:spacing w:before="240" w:line="360" w:lineRule="auto"/>
        <w:ind w:left="720"/>
        <w:jc w:val="both"/>
        <w:rPr>
          <w:rFonts w:ascii="Palatino Linotype" w:hAnsi="Palatino Linotype" w:cs="Arial"/>
          <w:i/>
        </w:rPr>
      </w:pPr>
    </w:p>
    <w:p w14:paraId="38138E41" w14:textId="77777777" w:rsidR="00FA3867" w:rsidRPr="00D05C83" w:rsidRDefault="00FA3867" w:rsidP="00FA386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4525F5" w14:textId="77777777" w:rsidR="00FA3867" w:rsidRPr="00D05C83" w:rsidRDefault="00FA3867" w:rsidP="00FA3867">
      <w:pPr>
        <w:autoSpaceDE w:val="0"/>
        <w:autoSpaceDN w:val="0"/>
        <w:adjustRightInd w:val="0"/>
        <w:spacing w:before="240" w:line="360" w:lineRule="auto"/>
        <w:jc w:val="both"/>
        <w:rPr>
          <w:rFonts w:ascii="Palatino Linotype" w:hAnsi="Palatino Linotype" w:cs="Arial"/>
          <w:sz w:val="24"/>
          <w:szCs w:val="24"/>
        </w:rPr>
      </w:pPr>
    </w:p>
    <w:p w14:paraId="34CE19BF" w14:textId="69A50D3E" w:rsidR="00FA3867" w:rsidRPr="00D05C83" w:rsidRDefault="00FA3867" w:rsidP="00FA386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9815F8">
        <w:rPr>
          <w:rFonts w:ascii="Palatino Linotype" w:hAnsi="Palatino Linotype" w:cs="Arial"/>
          <w:sz w:val="24"/>
          <w:szCs w:val="24"/>
        </w:rPr>
        <w:t xml:space="preserve"> al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61BE83E2" w14:textId="77777777" w:rsidR="00FA3867" w:rsidRDefault="00FA3867" w:rsidP="00FA3867">
      <w:pPr>
        <w:pStyle w:val="Prrafodelista"/>
        <w:autoSpaceDE w:val="0"/>
        <w:autoSpaceDN w:val="0"/>
        <w:adjustRightInd w:val="0"/>
        <w:spacing w:before="240" w:after="160" w:line="360" w:lineRule="auto"/>
        <w:ind w:left="0"/>
        <w:jc w:val="both"/>
        <w:rPr>
          <w:rFonts w:ascii="Palatino Linotype" w:hAnsi="Palatino Linotype"/>
        </w:rPr>
      </w:pPr>
    </w:p>
    <w:p w14:paraId="64D66A96" w14:textId="77777777" w:rsidR="00FA3867" w:rsidRDefault="00FA3867" w:rsidP="00FA3867">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10C3F581" w14:textId="77777777" w:rsidR="00FA3867" w:rsidRDefault="00FA3867" w:rsidP="00FA3867">
      <w:pPr>
        <w:autoSpaceDE w:val="0"/>
        <w:autoSpaceDN w:val="0"/>
        <w:adjustRightInd w:val="0"/>
        <w:spacing w:before="240" w:line="360" w:lineRule="auto"/>
        <w:jc w:val="both"/>
        <w:rPr>
          <w:rFonts w:ascii="Palatino Linotype" w:hAnsi="Palatino Linotype" w:cs="Arial"/>
          <w:sz w:val="24"/>
          <w:szCs w:val="24"/>
        </w:rPr>
      </w:pPr>
    </w:p>
    <w:p w14:paraId="48AE16C0" w14:textId="4E74C0E2" w:rsidR="00FA3867" w:rsidRDefault="009815F8" w:rsidP="00FA386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99200" behindDoc="0" locked="0" layoutInCell="1" allowOverlap="1" wp14:anchorId="2A6C200E" wp14:editId="0417B1BC">
                <wp:simplePos x="0" y="0"/>
                <wp:positionH relativeFrom="column">
                  <wp:posOffset>-289560</wp:posOffset>
                </wp:positionH>
                <wp:positionV relativeFrom="paragraph">
                  <wp:posOffset>2864485</wp:posOffset>
                </wp:positionV>
                <wp:extent cx="6657340" cy="4403090"/>
                <wp:effectExtent l="0" t="0" r="29210" b="35560"/>
                <wp:wrapNone/>
                <wp:docPr id="3" name="Conector recto 3"/>
                <wp:cNvGraphicFramePr/>
                <a:graphic xmlns:a="http://schemas.openxmlformats.org/drawingml/2006/main">
                  <a:graphicData uri="http://schemas.microsoft.com/office/word/2010/wordprocessingShape">
                    <wps:wsp>
                      <wps:cNvCnPr/>
                      <wps:spPr>
                        <a:xfrm>
                          <a:off x="0" y="0"/>
                          <a:ext cx="6657340" cy="4403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5CDD9" id="Conector recto 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225.55pt" to="501.4pt,5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" strokecolor="#5b9bd5 [3204]" strokeweight=".5pt">
                <v:stroke joinstyle="miter"/>
              </v:line>
            </w:pict>
          </mc:Fallback>
        </mc:AlternateContent>
      </w:r>
      <w:r w:rsidR="00FA3867" w:rsidRPr="00D05C83">
        <w:rPr>
          <w:rFonts w:ascii="Palatino Linotype" w:hAnsi="Palatino Linotype" w:cs="Arial"/>
          <w:sz w:val="24"/>
          <w:szCs w:val="24"/>
        </w:rPr>
        <w:t>ASÍ LO RESUELVE, POR UNANIMIDAD DE VOTOS EL PLENO DEL</w:t>
      </w:r>
      <w:r w:rsidR="00FA3867" w:rsidRPr="00D05C83">
        <w:rPr>
          <w:rFonts w:ascii="Palatino Linotype" w:eastAsia="Arial Unicode MS" w:hAnsi="Palatino Linotype" w:cs="Arial"/>
          <w:sz w:val="24"/>
          <w:szCs w:val="24"/>
        </w:rPr>
        <w:t xml:space="preserve"> INSTITUTO </w:t>
      </w:r>
      <w:r w:rsidR="00FA3867"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FA3867" w:rsidRPr="006C6A05">
        <w:rPr>
          <w:rFonts w:ascii="Palatino Linotype" w:hAnsi="Palatino Linotype" w:cs="Arial"/>
          <w:sz w:val="24"/>
          <w:szCs w:val="24"/>
        </w:rPr>
        <w:t xml:space="preserve">, CONFORMADO POR LOS COMISIONADOS ZULEMA MARTÍNEZ SÁNCHEZ, EVA ABAID YAPUR, </w:t>
      </w:r>
      <w:r w:rsidR="00F01E46">
        <w:rPr>
          <w:rFonts w:ascii="Palatino Linotype" w:hAnsi="Palatino Linotype" w:cs="Arial"/>
          <w:sz w:val="24"/>
          <w:szCs w:val="24"/>
        </w:rPr>
        <w:t xml:space="preserve">JOSÉ GUADALUPE LUNA HERNÁNDEZ, </w:t>
      </w:r>
      <w:r w:rsidR="00FA3867" w:rsidRPr="006C6A05">
        <w:rPr>
          <w:rFonts w:ascii="Palatino Linotype" w:hAnsi="Palatino Linotype" w:cs="Arial"/>
          <w:sz w:val="24"/>
          <w:szCs w:val="24"/>
        </w:rPr>
        <w:t xml:space="preserve">JAVIER </w:t>
      </w:r>
      <w:r w:rsidR="00F01E46">
        <w:rPr>
          <w:rFonts w:ascii="Palatino Linotype" w:hAnsi="Palatino Linotype" w:cs="Arial"/>
          <w:sz w:val="24"/>
          <w:szCs w:val="24"/>
        </w:rPr>
        <w:t xml:space="preserve">MARTÍNEZ CRUZ Y LUIS GUSTAVO PARRA NORIEGA </w:t>
      </w:r>
      <w:r w:rsidR="00FA3867" w:rsidRPr="006C6A05">
        <w:rPr>
          <w:rFonts w:ascii="Palatino Linotype" w:hAnsi="Palatino Linotype" w:cs="Arial"/>
          <w:sz w:val="24"/>
          <w:szCs w:val="24"/>
        </w:rPr>
        <w:t xml:space="preserve">EN LA </w:t>
      </w:r>
      <w:r w:rsidR="00FA3867">
        <w:rPr>
          <w:rFonts w:ascii="Palatino Linotype" w:hAnsi="Palatino Linotype" w:cs="Arial"/>
          <w:sz w:val="24"/>
          <w:szCs w:val="24"/>
        </w:rPr>
        <w:t>TRIGÉSIMA</w:t>
      </w:r>
      <w:r w:rsidR="00FA3867" w:rsidRPr="006C6A05">
        <w:rPr>
          <w:rFonts w:ascii="Palatino Linotype" w:hAnsi="Palatino Linotype" w:cs="Arial"/>
          <w:sz w:val="24"/>
          <w:szCs w:val="24"/>
        </w:rPr>
        <w:t xml:space="preserve"> </w:t>
      </w:r>
      <w:r w:rsidR="003740F0">
        <w:rPr>
          <w:rFonts w:ascii="Palatino Linotype" w:hAnsi="Palatino Linotype" w:cs="Arial"/>
          <w:sz w:val="24"/>
          <w:szCs w:val="24"/>
        </w:rPr>
        <w:t xml:space="preserve">TERCERA </w:t>
      </w:r>
      <w:r w:rsidR="00FA3867" w:rsidRPr="006C6A05">
        <w:rPr>
          <w:rFonts w:ascii="Palatino Linotype" w:hAnsi="Palatino Linotype" w:cs="Arial"/>
          <w:sz w:val="24"/>
          <w:szCs w:val="24"/>
        </w:rPr>
        <w:t xml:space="preserve">SESIÓN ORDINARIA CELEBRADA EL </w:t>
      </w:r>
      <w:r w:rsidR="003740F0">
        <w:rPr>
          <w:rFonts w:ascii="Palatino Linotype" w:hAnsi="Palatino Linotype" w:cs="Arial"/>
          <w:sz w:val="24"/>
          <w:szCs w:val="24"/>
        </w:rPr>
        <w:t>DOCE DE SEPTIEMBRE</w:t>
      </w:r>
      <w:r w:rsidR="00FA3867" w:rsidRPr="006C6A05">
        <w:rPr>
          <w:rFonts w:ascii="Palatino Linotype" w:hAnsi="Palatino Linotype" w:cs="Arial"/>
          <w:sz w:val="24"/>
          <w:szCs w:val="24"/>
        </w:rPr>
        <w:t xml:space="preserve"> DE DOS MIL DIECIOCHO, ANTE EL SECRETARIO TÉCNICO DEL PLENO, ALEXIS TAPIA RAMÍREZ.</w:t>
      </w:r>
      <w:r w:rsidR="00FA3867">
        <w:rPr>
          <w:rFonts w:ascii="Palatino Linotype" w:hAnsi="Palatino Linotype" w:cs="Arial"/>
          <w:sz w:val="24"/>
          <w:szCs w:val="24"/>
        </w:rPr>
        <w:t xml:space="preserve">  </w:t>
      </w:r>
      <w:r w:rsidR="00FA3867">
        <w:rPr>
          <w:rFonts w:ascii="Palatino Linotype" w:hAnsi="Palatino Linotype" w:cs="Arial"/>
          <w:sz w:val="24"/>
          <w:szCs w:val="24"/>
        </w:rPr>
        <w:br w:type="page"/>
      </w:r>
    </w:p>
    <w:p w14:paraId="75A6F32E" w14:textId="77777777" w:rsidR="00F01E46" w:rsidRDefault="00F01E46" w:rsidP="00F01E46">
      <w:pPr>
        <w:spacing w:before="240" w:line="360" w:lineRule="auto"/>
        <w:jc w:val="both"/>
        <w:rPr>
          <w:rFonts w:ascii="Palatino Linotype" w:hAnsi="Palatino Linotype" w:cs="Arial"/>
          <w:sz w:val="24"/>
          <w:szCs w:val="24"/>
        </w:rPr>
      </w:pPr>
    </w:p>
    <w:p w14:paraId="20CC17D6" w14:textId="77777777" w:rsidR="00F01E46" w:rsidRPr="00D05C83" w:rsidRDefault="00F01E46" w:rsidP="00F01E4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F01E46" w:rsidRPr="00EF2FC0" w:rsidRDefault="00F01E46" w:rsidP="00F01E46">
                            <w:pPr>
                              <w:jc w:val="center"/>
                              <w:rPr>
                                <w:rFonts w:ascii="Palatino Linotype" w:hAnsi="Palatino Linotype"/>
                              </w:rPr>
                            </w:pPr>
                            <w:r w:rsidRPr="00EF2FC0">
                              <w:rPr>
                                <w:rFonts w:ascii="Palatino Linotype" w:hAnsi="Palatino Linotype"/>
                                <w:b/>
                              </w:rPr>
                              <w:t>Zulema Martínez Sánchez</w:t>
                            </w:r>
                          </w:p>
                          <w:p w14:paraId="089EE955" w14:textId="77777777" w:rsidR="00F01E46" w:rsidRDefault="00F01E46" w:rsidP="00F01E46">
                            <w:pPr>
                              <w:jc w:val="center"/>
                              <w:rPr>
                                <w:rFonts w:ascii="Palatino Linotype" w:hAnsi="Palatino Linotype"/>
                              </w:rPr>
                            </w:pPr>
                            <w:r>
                              <w:rPr>
                                <w:rFonts w:ascii="Palatino Linotype" w:hAnsi="Palatino Linotype"/>
                              </w:rPr>
                              <w:t>Comisionada Presidenta</w:t>
                            </w:r>
                          </w:p>
                          <w:p w14:paraId="536A1FEB" w14:textId="77777777" w:rsidR="00F01E46" w:rsidRDefault="00F01E46" w:rsidP="00F01E46">
                            <w:pPr>
                              <w:jc w:val="center"/>
                              <w:rPr>
                                <w:rFonts w:ascii="Palatino Linotype" w:hAnsi="Palatino Linotype"/>
                                <w:b/>
                              </w:rPr>
                            </w:pPr>
                            <w:r>
                              <w:rPr>
                                <w:rFonts w:ascii="Palatino Linotype" w:hAnsi="Palatino Linotype"/>
                                <w:b/>
                              </w:rPr>
                              <w:t>(Rúbrica).</w:t>
                            </w:r>
                          </w:p>
                          <w:p w14:paraId="2957637F" w14:textId="77777777" w:rsidR="00F01E46" w:rsidRPr="00016AF3" w:rsidRDefault="00F01E46"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F01E46" w:rsidRPr="00EF2FC0" w:rsidRDefault="00F01E46" w:rsidP="00F01E46">
                      <w:pPr>
                        <w:jc w:val="center"/>
                        <w:rPr>
                          <w:rFonts w:ascii="Palatino Linotype" w:hAnsi="Palatino Linotype"/>
                        </w:rPr>
                      </w:pPr>
                      <w:r w:rsidRPr="00EF2FC0">
                        <w:rPr>
                          <w:rFonts w:ascii="Palatino Linotype" w:hAnsi="Palatino Linotype"/>
                          <w:b/>
                        </w:rPr>
                        <w:t>Zulema Martínez Sánchez</w:t>
                      </w:r>
                    </w:p>
                    <w:p w14:paraId="089EE955" w14:textId="77777777" w:rsidR="00F01E46" w:rsidRDefault="00F01E46" w:rsidP="00F01E46">
                      <w:pPr>
                        <w:jc w:val="center"/>
                        <w:rPr>
                          <w:rFonts w:ascii="Palatino Linotype" w:hAnsi="Palatino Linotype"/>
                        </w:rPr>
                      </w:pPr>
                      <w:r>
                        <w:rPr>
                          <w:rFonts w:ascii="Palatino Linotype" w:hAnsi="Palatino Linotype"/>
                        </w:rPr>
                        <w:t>Comisionada Presidenta</w:t>
                      </w:r>
                    </w:p>
                    <w:p w14:paraId="536A1FEB" w14:textId="77777777" w:rsidR="00F01E46" w:rsidRDefault="00F01E46" w:rsidP="00F01E46">
                      <w:pPr>
                        <w:jc w:val="center"/>
                        <w:rPr>
                          <w:rFonts w:ascii="Palatino Linotype" w:hAnsi="Palatino Linotype"/>
                          <w:b/>
                        </w:rPr>
                      </w:pPr>
                      <w:r>
                        <w:rPr>
                          <w:rFonts w:ascii="Palatino Linotype" w:hAnsi="Palatino Linotype"/>
                          <w:b/>
                        </w:rPr>
                        <w:t>(Rúbrica).</w:t>
                      </w:r>
                    </w:p>
                    <w:p w14:paraId="2957637F" w14:textId="77777777" w:rsidR="00F01E46" w:rsidRPr="00016AF3" w:rsidRDefault="00F01E46" w:rsidP="00F01E46">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50BB246A" w14:textId="77777777" w:rsidR="00F01E46" w:rsidRDefault="00F01E46" w:rsidP="00F01E46">
      <w:pPr>
        <w:autoSpaceDE w:val="0"/>
        <w:autoSpaceDN w:val="0"/>
        <w:adjustRightInd w:val="0"/>
        <w:spacing w:before="240" w:line="480" w:lineRule="auto"/>
        <w:jc w:val="both"/>
        <w:rPr>
          <w:rFonts w:ascii="Palatino Linotype" w:hAnsi="Palatino Linotype" w:cs="Arial"/>
          <w:sz w:val="24"/>
          <w:szCs w:val="24"/>
        </w:rPr>
      </w:pPr>
    </w:p>
    <w:p w14:paraId="3670CEC6" w14:textId="77777777" w:rsidR="00F01E46" w:rsidRDefault="00F01E46" w:rsidP="00F01E4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F01E46" w:rsidRPr="00EF2FC0" w:rsidRDefault="00F01E46" w:rsidP="00F01E4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F01E46" w:rsidRPr="00EF2FC0" w:rsidRDefault="00F01E46" w:rsidP="00F01E46">
                            <w:pPr>
                              <w:jc w:val="center"/>
                              <w:rPr>
                                <w:rFonts w:ascii="Palatino Linotype" w:hAnsi="Palatino Linotype"/>
                              </w:rPr>
                            </w:pPr>
                            <w:r w:rsidRPr="00EF2FC0">
                              <w:rPr>
                                <w:rFonts w:ascii="Palatino Linotype" w:hAnsi="Palatino Linotype"/>
                              </w:rPr>
                              <w:t>Comisionada</w:t>
                            </w:r>
                          </w:p>
                          <w:p w14:paraId="6FFDFA04" w14:textId="77777777" w:rsidR="00F01E46" w:rsidRDefault="00F01E46" w:rsidP="00F01E46">
                            <w:pPr>
                              <w:jc w:val="center"/>
                              <w:rPr>
                                <w:rFonts w:ascii="Palatino Linotype" w:hAnsi="Palatino Linotype"/>
                                <w:b/>
                              </w:rPr>
                            </w:pPr>
                            <w:r>
                              <w:rPr>
                                <w:rFonts w:ascii="Palatino Linotype" w:hAnsi="Palatino Linotype"/>
                                <w:b/>
                              </w:rPr>
                              <w:t>(Rúbrica).</w:t>
                            </w:r>
                          </w:p>
                          <w:p w14:paraId="7D6D680E" w14:textId="77777777" w:rsidR="00F01E46" w:rsidRDefault="00F01E46"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F01E46" w:rsidRPr="00EF2FC0" w:rsidRDefault="00F01E46" w:rsidP="00F01E4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F01E46" w:rsidRPr="00EF2FC0" w:rsidRDefault="00F01E46" w:rsidP="00F01E46">
                      <w:pPr>
                        <w:jc w:val="center"/>
                        <w:rPr>
                          <w:rFonts w:ascii="Palatino Linotype" w:hAnsi="Palatino Linotype"/>
                        </w:rPr>
                      </w:pPr>
                      <w:r w:rsidRPr="00EF2FC0">
                        <w:rPr>
                          <w:rFonts w:ascii="Palatino Linotype" w:hAnsi="Palatino Linotype"/>
                        </w:rPr>
                        <w:t>Comisionada</w:t>
                      </w:r>
                    </w:p>
                    <w:p w14:paraId="6FFDFA04" w14:textId="77777777" w:rsidR="00F01E46" w:rsidRDefault="00F01E46" w:rsidP="00F01E46">
                      <w:pPr>
                        <w:jc w:val="center"/>
                        <w:rPr>
                          <w:rFonts w:ascii="Palatino Linotype" w:hAnsi="Palatino Linotype"/>
                          <w:b/>
                        </w:rPr>
                      </w:pPr>
                      <w:r>
                        <w:rPr>
                          <w:rFonts w:ascii="Palatino Linotype" w:hAnsi="Palatino Linotype"/>
                          <w:b/>
                        </w:rPr>
                        <w:t>(Rúbrica).</w:t>
                      </w:r>
                    </w:p>
                    <w:p w14:paraId="7D6D680E" w14:textId="77777777" w:rsidR="00F01E46" w:rsidRDefault="00F01E46" w:rsidP="00F01E46">
                      <w:pPr>
                        <w:jc w:val="center"/>
                      </w:pPr>
                    </w:p>
                  </w:txbxContent>
                </v:textbox>
                <w10:wrap anchorx="margin"/>
              </v:shape>
            </w:pict>
          </mc:Fallback>
        </mc:AlternateContent>
      </w:r>
    </w:p>
    <w:p w14:paraId="20B95AB9" w14:textId="77777777" w:rsidR="00F01E46" w:rsidRDefault="00F01E46" w:rsidP="00F01E4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0F513B80">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F01E46" w:rsidRPr="00EF2FC0" w:rsidRDefault="00F01E46" w:rsidP="00F01E46">
                            <w:pPr>
                              <w:jc w:val="center"/>
                              <w:rPr>
                                <w:rFonts w:ascii="Palatino Linotype" w:hAnsi="Palatino Linotype"/>
                              </w:rPr>
                            </w:pPr>
                            <w:r>
                              <w:rPr>
                                <w:rFonts w:ascii="Palatino Linotype" w:hAnsi="Palatino Linotype"/>
                                <w:b/>
                              </w:rPr>
                              <w:t>José Guadalupe Luna Hernández</w:t>
                            </w:r>
                          </w:p>
                          <w:p w14:paraId="066020FA"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30DDD5E9" w14:textId="77777777" w:rsidR="00F01E46" w:rsidRPr="009234AD" w:rsidRDefault="00F01E46" w:rsidP="00F01E4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80.2pt;margin-top:6.7pt;width:200.2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14:paraId="693DE3FC" w14:textId="77777777" w:rsidR="00F01E46" w:rsidRPr="00EF2FC0" w:rsidRDefault="00F01E46" w:rsidP="00F01E46">
                      <w:pPr>
                        <w:jc w:val="center"/>
                        <w:rPr>
                          <w:rFonts w:ascii="Palatino Linotype" w:hAnsi="Palatino Linotype"/>
                        </w:rPr>
                      </w:pPr>
                      <w:r>
                        <w:rPr>
                          <w:rFonts w:ascii="Palatino Linotype" w:hAnsi="Palatino Linotype"/>
                          <w:b/>
                        </w:rPr>
                        <w:t>José Guadalupe Luna Hernández</w:t>
                      </w:r>
                    </w:p>
                    <w:p w14:paraId="066020FA"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30DDD5E9" w14:textId="77777777" w:rsidR="00F01E46" w:rsidRPr="009234AD" w:rsidRDefault="00F01E46" w:rsidP="00F01E4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1DA280E" w14:textId="77777777" w:rsidR="00F01E46" w:rsidRPr="00D54B7D" w:rsidRDefault="00F01E46" w:rsidP="00F01E46">
      <w:pPr>
        <w:spacing w:before="240" w:line="480" w:lineRule="auto"/>
        <w:jc w:val="both"/>
        <w:rPr>
          <w:rFonts w:ascii="Palatino Linotype" w:hAnsi="Palatino Linotype"/>
        </w:rPr>
      </w:pPr>
    </w:p>
    <w:p w14:paraId="293F4115" w14:textId="77777777" w:rsidR="00F01E46" w:rsidRPr="00D54B7D" w:rsidRDefault="00F01E46" w:rsidP="00F01E46">
      <w:pPr>
        <w:spacing w:before="240" w:line="480" w:lineRule="auto"/>
        <w:jc w:val="center"/>
        <w:rPr>
          <w:rFonts w:ascii="Palatino Linotype" w:hAnsi="Palatino Linotype"/>
        </w:rPr>
      </w:pPr>
    </w:p>
    <w:p w14:paraId="7AB08B9C" w14:textId="77777777" w:rsidR="00F01E46" w:rsidRDefault="00F01E46" w:rsidP="00F01E4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418D2" w14:textId="77777777" w:rsidR="001A6394" w:rsidRPr="00EF2FC0" w:rsidRDefault="001A6394" w:rsidP="001A6394">
                            <w:pPr>
                              <w:jc w:val="center"/>
                              <w:rPr>
                                <w:rFonts w:ascii="Palatino Linotype" w:hAnsi="Palatino Linotype"/>
                              </w:rPr>
                            </w:pPr>
                            <w:r w:rsidRPr="00EF2FC0">
                              <w:rPr>
                                <w:rFonts w:ascii="Palatino Linotype" w:hAnsi="Palatino Linotype"/>
                                <w:b/>
                              </w:rPr>
                              <w:t>Javier Martínez Cruz</w:t>
                            </w:r>
                          </w:p>
                          <w:p w14:paraId="21A89B9A"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5C661E83" w14:textId="77777777" w:rsidR="00F01E46" w:rsidRPr="00F55D03" w:rsidRDefault="00F01E46" w:rsidP="00F01E46">
                            <w:pPr>
                              <w:jc w:val="center"/>
                              <w:rPr>
                                <w:rFonts w:ascii="Palatino Linotype" w:hAnsi="Palatino Linotype"/>
                                <w:b/>
                              </w:rPr>
                            </w:pPr>
                            <w:r>
                              <w:rPr>
                                <w:rFonts w:ascii="Palatino Linotype" w:hAnsi="Palatino Linotype"/>
                                <w:b/>
                              </w:rPr>
                              <w:t>(Rúbrica).</w:t>
                            </w:r>
                          </w:p>
                          <w:p w14:paraId="54AD70F0"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A8418D2" w14:textId="77777777" w:rsidR="001A6394" w:rsidRPr="00EF2FC0" w:rsidRDefault="001A6394" w:rsidP="001A6394">
                      <w:pPr>
                        <w:jc w:val="center"/>
                        <w:rPr>
                          <w:rFonts w:ascii="Palatino Linotype" w:hAnsi="Palatino Linotype"/>
                        </w:rPr>
                      </w:pPr>
                      <w:r w:rsidRPr="00EF2FC0">
                        <w:rPr>
                          <w:rFonts w:ascii="Palatino Linotype" w:hAnsi="Palatino Linotype"/>
                          <w:b/>
                        </w:rPr>
                        <w:t>Javier Martínez Cruz</w:t>
                      </w:r>
                    </w:p>
                    <w:p w14:paraId="21A89B9A"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5C661E83" w14:textId="77777777" w:rsidR="00F01E46" w:rsidRPr="00F55D03" w:rsidRDefault="00F01E46" w:rsidP="00F01E46">
                      <w:pPr>
                        <w:jc w:val="center"/>
                        <w:rPr>
                          <w:rFonts w:ascii="Palatino Linotype" w:hAnsi="Palatino Linotype"/>
                          <w:b/>
                        </w:rPr>
                      </w:pPr>
                      <w:r>
                        <w:rPr>
                          <w:rFonts w:ascii="Palatino Linotype" w:hAnsi="Palatino Linotype"/>
                          <w:b/>
                        </w:rPr>
                        <w:t>(Rúbrica).</w:t>
                      </w:r>
                    </w:p>
                    <w:p w14:paraId="54AD70F0" w14:textId="77777777" w:rsidR="00F01E46" w:rsidRDefault="00F01E46" w:rsidP="00F01E46"/>
                  </w:txbxContent>
                </v:textbox>
                <w10:wrap anchorx="margin"/>
              </v:shape>
            </w:pict>
          </mc:Fallback>
        </mc:AlternateContent>
      </w:r>
    </w:p>
    <w:p w14:paraId="61E8CD5D" w14:textId="77777777" w:rsidR="00F01E46" w:rsidRDefault="00F01E46" w:rsidP="00F01E4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1C1AC5B8">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0F1720" w14:textId="77777777" w:rsidR="001A6394" w:rsidRPr="00EF2FC0" w:rsidRDefault="001A6394" w:rsidP="001A6394">
                            <w:pPr>
                              <w:jc w:val="center"/>
                              <w:rPr>
                                <w:rFonts w:ascii="Palatino Linotype" w:hAnsi="Palatino Linotype"/>
                              </w:rPr>
                            </w:pPr>
                            <w:r>
                              <w:rPr>
                                <w:rFonts w:ascii="Palatino Linotype" w:hAnsi="Palatino Linotype"/>
                                <w:b/>
                              </w:rPr>
                              <w:t>Luis Gustavo Parra Noriega</w:t>
                            </w:r>
                          </w:p>
                          <w:p w14:paraId="54E5E19B"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120CECB9" w14:textId="77777777" w:rsidR="00F01E46" w:rsidRPr="00F55D03" w:rsidRDefault="00F01E46" w:rsidP="00F01E46">
                            <w:pPr>
                              <w:jc w:val="center"/>
                              <w:rPr>
                                <w:rFonts w:ascii="Palatino Linotype" w:hAnsi="Palatino Linotype"/>
                                <w:b/>
                              </w:rPr>
                            </w:pPr>
                            <w:r>
                              <w:rPr>
                                <w:rFonts w:ascii="Palatino Linotype" w:hAnsi="Palatino Linotype"/>
                                <w:b/>
                              </w:rPr>
                              <w:t>(Rúbrica).</w:t>
                            </w:r>
                          </w:p>
                          <w:p w14:paraId="14E240E3"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81.7pt;margin-top:4.2pt;width:200.2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2F0F1720" w14:textId="77777777" w:rsidR="001A6394" w:rsidRPr="00EF2FC0" w:rsidRDefault="001A6394" w:rsidP="001A6394">
                      <w:pPr>
                        <w:jc w:val="center"/>
                        <w:rPr>
                          <w:rFonts w:ascii="Palatino Linotype" w:hAnsi="Palatino Linotype"/>
                        </w:rPr>
                      </w:pPr>
                      <w:r>
                        <w:rPr>
                          <w:rFonts w:ascii="Palatino Linotype" w:hAnsi="Palatino Linotype"/>
                          <w:b/>
                        </w:rPr>
                        <w:t>Luis Gustavo Parra Noriega</w:t>
                      </w:r>
                    </w:p>
                    <w:p w14:paraId="54E5E19B" w14:textId="77777777" w:rsidR="00F01E46" w:rsidRDefault="00F01E46" w:rsidP="00F01E46">
                      <w:pPr>
                        <w:jc w:val="center"/>
                        <w:rPr>
                          <w:rFonts w:ascii="Palatino Linotype" w:hAnsi="Palatino Linotype"/>
                        </w:rPr>
                      </w:pPr>
                      <w:r w:rsidRPr="00EF2FC0">
                        <w:rPr>
                          <w:rFonts w:ascii="Palatino Linotype" w:hAnsi="Palatino Linotype"/>
                        </w:rPr>
                        <w:t>Comisionado</w:t>
                      </w:r>
                    </w:p>
                    <w:p w14:paraId="120CECB9" w14:textId="77777777" w:rsidR="00F01E46" w:rsidRPr="00F55D03" w:rsidRDefault="00F01E46" w:rsidP="00F01E46">
                      <w:pPr>
                        <w:jc w:val="center"/>
                        <w:rPr>
                          <w:rFonts w:ascii="Palatino Linotype" w:hAnsi="Palatino Linotype"/>
                          <w:b/>
                        </w:rPr>
                      </w:pPr>
                      <w:r>
                        <w:rPr>
                          <w:rFonts w:ascii="Palatino Linotype" w:hAnsi="Palatino Linotype"/>
                          <w:b/>
                        </w:rPr>
                        <w:t>(Rúbrica).</w:t>
                      </w:r>
                    </w:p>
                    <w:p w14:paraId="14E240E3" w14:textId="77777777" w:rsidR="00F01E46" w:rsidRDefault="00F01E46" w:rsidP="00F01E46"/>
                  </w:txbxContent>
                </v:textbox>
                <w10:wrap anchorx="margin"/>
              </v:shape>
            </w:pict>
          </mc:Fallback>
        </mc:AlternateContent>
      </w:r>
    </w:p>
    <w:p w14:paraId="3B1B65FE" w14:textId="77777777" w:rsidR="00F01E46" w:rsidRDefault="00F01E46" w:rsidP="00F01E46">
      <w:pPr>
        <w:spacing w:before="240" w:line="480" w:lineRule="auto"/>
        <w:rPr>
          <w:rFonts w:ascii="Palatino Linotype" w:hAnsi="Palatino Linotype"/>
          <w:b/>
        </w:rPr>
      </w:pPr>
    </w:p>
    <w:p w14:paraId="252488C2" w14:textId="77777777" w:rsidR="00F01E46" w:rsidRDefault="00F01E46" w:rsidP="00F01E4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46E404CD">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F01E46" w:rsidRPr="007F6133" w:rsidRDefault="00F01E46" w:rsidP="00F01E46">
                            <w:pPr>
                              <w:jc w:val="center"/>
                              <w:rPr>
                                <w:rFonts w:ascii="Palatino Linotype" w:hAnsi="Palatino Linotype"/>
                                <w:b/>
                              </w:rPr>
                            </w:pPr>
                            <w:r>
                              <w:rPr>
                                <w:rFonts w:ascii="Palatino Linotype" w:hAnsi="Palatino Linotype"/>
                                <w:b/>
                              </w:rPr>
                              <w:t xml:space="preserve">Alexis Tapia Ramírez </w:t>
                            </w:r>
                          </w:p>
                          <w:p w14:paraId="1BD84BF7" w14:textId="77777777" w:rsidR="00F01E46" w:rsidRDefault="00F01E46" w:rsidP="00F01E4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F01E46" w:rsidRDefault="00F01E46" w:rsidP="00F01E46">
                            <w:pPr>
                              <w:jc w:val="center"/>
                              <w:rPr>
                                <w:rFonts w:ascii="Palatino Linotype" w:hAnsi="Palatino Linotype"/>
                                <w:b/>
                              </w:rPr>
                            </w:pPr>
                            <w:r>
                              <w:rPr>
                                <w:rFonts w:ascii="Palatino Linotype" w:hAnsi="Palatino Linotype"/>
                                <w:b/>
                              </w:rPr>
                              <w:t>(Rúbrica).</w:t>
                            </w:r>
                          </w:p>
                          <w:p w14:paraId="5DA5AAC1" w14:textId="77777777" w:rsidR="00F01E46" w:rsidRDefault="00F01E46" w:rsidP="00F01E46">
                            <w:pPr>
                              <w:jc w:val="center"/>
                              <w:rPr>
                                <w:rFonts w:ascii="Palatino Linotype" w:hAnsi="Palatino Linotype"/>
                              </w:rPr>
                            </w:pPr>
                          </w:p>
                          <w:p w14:paraId="37948DCC" w14:textId="77777777" w:rsidR="00F01E46" w:rsidRPr="00EF2FC0" w:rsidRDefault="00F01E46" w:rsidP="00F01E46">
                            <w:pPr>
                              <w:jc w:val="center"/>
                              <w:rPr>
                                <w:rFonts w:ascii="Palatino Linotype" w:hAnsi="Palatino Linotype"/>
                              </w:rPr>
                            </w:pPr>
                          </w:p>
                          <w:p w14:paraId="5910A339"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1in;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46E00979" w14:textId="77777777" w:rsidR="00F01E46" w:rsidRPr="007F6133" w:rsidRDefault="00F01E46" w:rsidP="00F01E46">
                      <w:pPr>
                        <w:jc w:val="center"/>
                        <w:rPr>
                          <w:rFonts w:ascii="Palatino Linotype" w:hAnsi="Palatino Linotype"/>
                          <w:b/>
                        </w:rPr>
                      </w:pPr>
                      <w:r>
                        <w:rPr>
                          <w:rFonts w:ascii="Palatino Linotype" w:hAnsi="Palatino Linotype"/>
                          <w:b/>
                        </w:rPr>
                        <w:t xml:space="preserve">Alexis Tapia Ramírez </w:t>
                      </w:r>
                    </w:p>
                    <w:p w14:paraId="1BD84BF7" w14:textId="77777777" w:rsidR="00F01E46" w:rsidRDefault="00F01E46" w:rsidP="00F01E4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F01E46" w:rsidRDefault="00F01E46" w:rsidP="00F01E46">
                      <w:pPr>
                        <w:jc w:val="center"/>
                        <w:rPr>
                          <w:rFonts w:ascii="Palatino Linotype" w:hAnsi="Palatino Linotype"/>
                          <w:b/>
                        </w:rPr>
                      </w:pPr>
                      <w:r>
                        <w:rPr>
                          <w:rFonts w:ascii="Palatino Linotype" w:hAnsi="Palatino Linotype"/>
                          <w:b/>
                        </w:rPr>
                        <w:t>(Rúbrica).</w:t>
                      </w:r>
                    </w:p>
                    <w:p w14:paraId="5DA5AAC1" w14:textId="77777777" w:rsidR="00F01E46" w:rsidRDefault="00F01E46" w:rsidP="00F01E46">
                      <w:pPr>
                        <w:jc w:val="center"/>
                        <w:rPr>
                          <w:rFonts w:ascii="Palatino Linotype" w:hAnsi="Palatino Linotype"/>
                        </w:rPr>
                      </w:pPr>
                    </w:p>
                    <w:p w14:paraId="37948DCC" w14:textId="77777777" w:rsidR="00F01E46" w:rsidRPr="00EF2FC0" w:rsidRDefault="00F01E46" w:rsidP="00F01E46">
                      <w:pPr>
                        <w:jc w:val="center"/>
                        <w:rPr>
                          <w:rFonts w:ascii="Palatino Linotype" w:hAnsi="Palatino Linotype"/>
                        </w:rPr>
                      </w:pPr>
                    </w:p>
                    <w:p w14:paraId="5910A339" w14:textId="77777777" w:rsidR="00F01E46" w:rsidRDefault="00F01E46" w:rsidP="00F01E46"/>
                  </w:txbxContent>
                </v:textbox>
                <w10:wrap anchorx="margin"/>
              </v:shape>
            </w:pict>
          </mc:Fallback>
        </mc:AlternateContent>
      </w:r>
    </w:p>
    <w:p w14:paraId="059F38E5" w14:textId="77777777" w:rsidR="00F01E46" w:rsidRPr="00D54B7D" w:rsidRDefault="00F01E46" w:rsidP="00F01E46">
      <w:pPr>
        <w:spacing w:before="240" w:line="480" w:lineRule="auto"/>
        <w:rPr>
          <w:rFonts w:ascii="Palatino Linotype" w:hAnsi="Palatino Linotype"/>
          <w:b/>
        </w:rPr>
      </w:pPr>
    </w:p>
    <w:p w14:paraId="591B8BF7" w14:textId="77777777" w:rsidR="00FA3867" w:rsidRDefault="00FA3867" w:rsidP="00FA3867">
      <w:pPr>
        <w:tabs>
          <w:tab w:val="left" w:pos="709"/>
        </w:tabs>
        <w:spacing w:before="240" w:line="360" w:lineRule="auto"/>
        <w:ind w:right="51"/>
        <w:jc w:val="both"/>
        <w:rPr>
          <w:rFonts w:ascii="Palatino Linotype" w:hAnsi="Palatino Linotype"/>
          <w:sz w:val="24"/>
          <w:szCs w:val="24"/>
        </w:rPr>
      </w:pPr>
    </w:p>
    <w:p w14:paraId="67E7D532" w14:textId="5C39920A" w:rsidR="00FA3867" w:rsidRDefault="00FA3867" w:rsidP="00FA3867">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3740F0">
        <w:rPr>
          <w:rFonts w:ascii="Palatino Linotype" w:hAnsi="Palatino Linotype" w:cs="Arial"/>
          <w:sz w:val="16"/>
          <w:szCs w:val="16"/>
        </w:rPr>
        <w:t>doce de septiembre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1D1559">
        <w:rPr>
          <w:rFonts w:ascii="Palatino Linotype" w:hAnsi="Palatino Linotype" w:cs="Arial"/>
          <w:bCs/>
          <w:sz w:val="16"/>
          <w:szCs w:val="16"/>
          <w:lang w:eastAsia="es-MX"/>
        </w:rPr>
        <w:t>0256</w:t>
      </w:r>
      <w:r w:rsidR="003740F0">
        <w:rPr>
          <w:rFonts w:ascii="Palatino Linotype" w:hAnsi="Palatino Linotype" w:cs="Arial"/>
          <w:bCs/>
          <w:sz w:val="16"/>
          <w:szCs w:val="16"/>
          <w:lang w:eastAsia="es-MX"/>
        </w:rPr>
        <w:t>5</w:t>
      </w:r>
      <w:r>
        <w:rPr>
          <w:rFonts w:ascii="Palatino Linotype" w:hAnsi="Palatino Linotype" w:cs="Arial"/>
          <w:bCs/>
          <w:sz w:val="16"/>
          <w:szCs w:val="16"/>
          <w:lang w:eastAsia="es-MX"/>
        </w:rPr>
        <w:t xml:space="preserve">/INFOEM/IP/RR/2018.   </w:t>
      </w:r>
    </w:p>
    <w:p w14:paraId="345214E0" w14:textId="2F01AFA5" w:rsidR="00FA3867" w:rsidRPr="005A797B" w:rsidRDefault="00FA3867" w:rsidP="0003029B">
      <w:pPr>
        <w:spacing w:before="240"/>
        <w:jc w:val="both"/>
        <w:rPr>
          <w:rFonts w:ascii="Palatino Linotype" w:hAnsi="Palatino Linotype" w:cs="Arial"/>
        </w:rPr>
      </w:pPr>
      <w:r>
        <w:rPr>
          <w:rFonts w:ascii="Palatino Linotype" w:hAnsi="Palatino Linotype" w:cs="Arial"/>
          <w:bCs/>
          <w:sz w:val="16"/>
          <w:szCs w:val="16"/>
          <w:lang w:eastAsia="es-MX"/>
        </w:rPr>
        <w:t xml:space="preserve">OSAM/JCMA </w:t>
      </w:r>
      <w:r w:rsidR="003740F0">
        <w:rPr>
          <w:rFonts w:ascii="Palatino Linotype" w:hAnsi="Palatino Linotype" w:cs="Arial"/>
          <w:bCs/>
          <w:sz w:val="16"/>
          <w:szCs w:val="16"/>
          <w:lang w:eastAsia="es-MX"/>
        </w:rPr>
        <w:t xml:space="preserve"> </w:t>
      </w:r>
      <w:r w:rsidR="002C415A">
        <w:rPr>
          <w:rFonts w:ascii="Palatino Linotype" w:hAnsi="Palatino Linotype" w:cs="Arial"/>
          <w:bCs/>
          <w:sz w:val="16"/>
          <w:szCs w:val="16"/>
          <w:lang w:eastAsia="es-MX"/>
        </w:rPr>
        <w:t xml:space="preserve"> </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05EC0" w14:textId="77777777" w:rsidR="009C7BCC" w:rsidRDefault="009C7BCC" w:rsidP="006168E4">
      <w:pPr>
        <w:spacing w:after="0" w:line="240" w:lineRule="auto"/>
      </w:pPr>
      <w:r>
        <w:separator/>
      </w:r>
    </w:p>
  </w:endnote>
  <w:endnote w:type="continuationSeparator" w:id="0">
    <w:p w14:paraId="6E4EEDCC" w14:textId="77777777" w:rsidR="009C7BCC" w:rsidRDefault="009C7BC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5FC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5FC9">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5F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5FC9">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CF8F8" w14:textId="77777777" w:rsidR="009C7BCC" w:rsidRDefault="009C7BCC" w:rsidP="006168E4">
      <w:pPr>
        <w:spacing w:after="0" w:line="240" w:lineRule="auto"/>
      </w:pPr>
      <w:r>
        <w:separator/>
      </w:r>
    </w:p>
  </w:footnote>
  <w:footnote w:type="continuationSeparator" w:id="0">
    <w:p w14:paraId="626C2F0E" w14:textId="77777777" w:rsidR="009C7BCC" w:rsidRDefault="009C7BCC" w:rsidP="006168E4">
      <w:pPr>
        <w:spacing w:after="0" w:line="240" w:lineRule="auto"/>
      </w:pPr>
      <w:r>
        <w:continuationSeparator/>
      </w:r>
    </w:p>
  </w:footnote>
  <w:footnote w:id="1">
    <w:p w14:paraId="51D124B9" w14:textId="77777777" w:rsidR="0030613C" w:rsidRPr="005552A8" w:rsidRDefault="0030613C"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30613C" w:rsidRPr="005552A8" w:rsidRDefault="0030613C"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30613C" w:rsidRDefault="0030613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0613C" w14:paraId="1B55C452" w14:textId="77777777" w:rsidTr="00D77A67">
      <w:trPr>
        <w:trHeight w:val="227"/>
      </w:trPr>
      <w:tc>
        <w:tcPr>
          <w:tcW w:w="5529" w:type="dxa"/>
          <w:hideMark/>
        </w:tcPr>
        <w:p w14:paraId="7D61692F"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0E19477" w:rsidR="0030613C" w:rsidRPr="00B4142F" w:rsidRDefault="0035578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02565</w:t>
          </w:r>
          <w:r w:rsidR="0030613C">
            <w:rPr>
              <w:rFonts w:ascii="Palatino Linotype" w:hAnsi="Palatino Linotype" w:cs="Arial"/>
              <w:bCs/>
              <w:sz w:val="24"/>
              <w:lang w:eastAsia="es-MX"/>
            </w:rPr>
            <w:t>/INFOEM/IP/RR/2018</w:t>
          </w:r>
          <w:r w:rsidR="0030613C" w:rsidRPr="00DA380F">
            <w:rPr>
              <w:rFonts w:ascii="Palatino Linotype" w:hAnsi="Palatino Linotype" w:cs="Arial"/>
              <w:bCs/>
              <w:sz w:val="24"/>
              <w:lang w:eastAsia="es-MX"/>
            </w:rPr>
            <w:t xml:space="preserve"> </w:t>
          </w:r>
        </w:p>
      </w:tc>
    </w:tr>
    <w:tr w:rsidR="0030613C" w14:paraId="54A9600B" w14:textId="77777777" w:rsidTr="00D77A67">
      <w:trPr>
        <w:trHeight w:val="242"/>
      </w:trPr>
      <w:tc>
        <w:tcPr>
          <w:tcW w:w="5529" w:type="dxa"/>
          <w:hideMark/>
        </w:tcPr>
        <w:p w14:paraId="44594D83"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56BC671" w:rsidR="0030613C" w:rsidRPr="00F06FED" w:rsidRDefault="0035578B" w:rsidP="00745175">
          <w:pPr>
            <w:spacing w:after="120" w:line="256" w:lineRule="auto"/>
            <w:ind w:left="639" w:right="214"/>
            <w:jc w:val="both"/>
            <w:rPr>
              <w:rFonts w:ascii="Palatino Linotype" w:hAnsi="Palatino Linotype" w:cs="Arial"/>
            </w:rPr>
          </w:pPr>
          <w:r>
            <w:rPr>
              <w:rFonts w:ascii="Palatino Linotype" w:hAnsi="Palatino Linotype" w:cs="Arial"/>
              <w:szCs w:val="20"/>
            </w:rPr>
            <w:t>Partido Morena</w:t>
          </w:r>
        </w:p>
      </w:tc>
    </w:tr>
    <w:tr w:rsidR="0030613C" w14:paraId="02ED08B1" w14:textId="77777777" w:rsidTr="00D77A67">
      <w:trPr>
        <w:trHeight w:val="342"/>
      </w:trPr>
      <w:tc>
        <w:tcPr>
          <w:tcW w:w="5529" w:type="dxa"/>
          <w:hideMark/>
        </w:tcPr>
        <w:p w14:paraId="00D66E60" w14:textId="77777777" w:rsidR="0030613C" w:rsidRDefault="0030613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0613C" w:rsidRDefault="0030613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0613C" w:rsidRDefault="003061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0613C" w14:paraId="333E5951" w14:textId="77777777" w:rsidTr="00D77A67">
      <w:trPr>
        <w:trHeight w:val="227"/>
      </w:trPr>
      <w:tc>
        <w:tcPr>
          <w:tcW w:w="5529" w:type="dxa"/>
          <w:hideMark/>
        </w:tcPr>
        <w:p w14:paraId="5A8BD2EE"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DF02309" w:rsidR="0030613C" w:rsidRPr="00B4142F" w:rsidRDefault="0035578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02565</w:t>
          </w:r>
          <w:r w:rsidR="0030613C">
            <w:rPr>
              <w:rFonts w:ascii="Palatino Linotype" w:hAnsi="Palatino Linotype" w:cs="Arial"/>
              <w:bCs/>
              <w:sz w:val="24"/>
              <w:lang w:eastAsia="es-MX"/>
            </w:rPr>
            <w:t>/INFOEM/IP/RR/2018</w:t>
          </w:r>
        </w:p>
      </w:tc>
    </w:tr>
    <w:tr w:rsidR="0030613C" w14:paraId="6C6CCDEF" w14:textId="77777777" w:rsidTr="00D77A67">
      <w:trPr>
        <w:trHeight w:val="196"/>
      </w:trPr>
      <w:tc>
        <w:tcPr>
          <w:tcW w:w="5529" w:type="dxa"/>
          <w:hideMark/>
        </w:tcPr>
        <w:p w14:paraId="79F53C9B"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E9A7C9E" w:rsidR="0030613C" w:rsidRPr="00F06FED" w:rsidRDefault="00705FC9" w:rsidP="00D76554">
          <w:pPr>
            <w:spacing w:after="120" w:line="256" w:lineRule="auto"/>
            <w:ind w:left="639" w:right="214"/>
            <w:jc w:val="both"/>
            <w:rPr>
              <w:rFonts w:ascii="Palatino Linotype" w:hAnsi="Palatino Linotype" w:cs="Arial"/>
            </w:rPr>
          </w:pPr>
          <w:r>
            <w:rPr>
              <w:rFonts w:ascii="Palatino Linotype" w:hAnsi="Palatino Linotype" w:cs="Arial"/>
            </w:rPr>
            <w:t>XXXXXXXXXXX</w:t>
          </w:r>
          <w:r w:rsidR="0091304D">
            <w:rPr>
              <w:rFonts w:ascii="Palatino Linotype" w:hAnsi="Palatino Linotype" w:cs="Arial"/>
            </w:rPr>
            <w:t>XXXXXX</w:t>
          </w:r>
        </w:p>
      </w:tc>
    </w:tr>
    <w:tr w:rsidR="0030613C" w14:paraId="63F5D633" w14:textId="77777777" w:rsidTr="00D77A67">
      <w:trPr>
        <w:trHeight w:val="242"/>
      </w:trPr>
      <w:tc>
        <w:tcPr>
          <w:tcW w:w="5529" w:type="dxa"/>
          <w:hideMark/>
        </w:tcPr>
        <w:p w14:paraId="25254C34"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5913753" w:rsidR="0030613C" w:rsidRDefault="0035578B"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Partido Morena</w:t>
          </w:r>
        </w:p>
      </w:tc>
    </w:tr>
    <w:tr w:rsidR="0030613C" w14:paraId="6E9635C5" w14:textId="77777777" w:rsidTr="00D77A67">
      <w:trPr>
        <w:trHeight w:val="342"/>
      </w:trPr>
      <w:tc>
        <w:tcPr>
          <w:tcW w:w="5529" w:type="dxa"/>
          <w:hideMark/>
        </w:tcPr>
        <w:p w14:paraId="69273B9D" w14:textId="77777777" w:rsidR="0030613C" w:rsidRDefault="0030613C"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0613C" w:rsidRDefault="0030613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30613C" w:rsidRDefault="003061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A466061"/>
    <w:multiLevelType w:val="hybridMultilevel"/>
    <w:tmpl w:val="5A9C85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
  </w:num>
  <w:num w:numId="4">
    <w:abstractNumId w:val="18"/>
  </w:num>
  <w:num w:numId="5">
    <w:abstractNumId w:val="3"/>
  </w:num>
  <w:num w:numId="6">
    <w:abstractNumId w:val="32"/>
  </w:num>
  <w:num w:numId="7">
    <w:abstractNumId w:val="23"/>
  </w:num>
  <w:num w:numId="8">
    <w:abstractNumId w:val="28"/>
  </w:num>
  <w:num w:numId="9">
    <w:abstractNumId w:val="14"/>
  </w:num>
  <w:num w:numId="10">
    <w:abstractNumId w:val="25"/>
  </w:num>
  <w:num w:numId="11">
    <w:abstractNumId w:val="11"/>
  </w:num>
  <w:num w:numId="12">
    <w:abstractNumId w:val="20"/>
  </w:num>
  <w:num w:numId="13">
    <w:abstractNumId w:val="24"/>
  </w:num>
  <w:num w:numId="14">
    <w:abstractNumId w:val="35"/>
  </w:num>
  <w:num w:numId="15">
    <w:abstractNumId w:val="16"/>
  </w:num>
  <w:num w:numId="16">
    <w:abstractNumId w:val="7"/>
  </w:num>
  <w:num w:numId="17">
    <w:abstractNumId w:val="33"/>
  </w:num>
  <w:num w:numId="18">
    <w:abstractNumId w:val="26"/>
  </w:num>
  <w:num w:numId="19">
    <w:abstractNumId w:val="9"/>
  </w:num>
  <w:num w:numId="20">
    <w:abstractNumId w:val="31"/>
  </w:num>
  <w:num w:numId="21">
    <w:abstractNumId w:val="10"/>
  </w:num>
  <w:num w:numId="22">
    <w:abstractNumId w:val="22"/>
  </w:num>
  <w:num w:numId="23">
    <w:abstractNumId w:val="5"/>
  </w:num>
  <w:num w:numId="24">
    <w:abstractNumId w:val="27"/>
  </w:num>
  <w:num w:numId="25">
    <w:abstractNumId w:val="15"/>
  </w:num>
  <w:num w:numId="26">
    <w:abstractNumId w:val="6"/>
  </w:num>
  <w:num w:numId="27">
    <w:abstractNumId w:val="0"/>
  </w:num>
  <w:num w:numId="28">
    <w:abstractNumId w:val="30"/>
  </w:num>
  <w:num w:numId="29">
    <w:abstractNumId w:val="17"/>
  </w:num>
  <w:num w:numId="30">
    <w:abstractNumId w:val="29"/>
  </w:num>
  <w:num w:numId="31">
    <w:abstractNumId w:val="8"/>
  </w:num>
  <w:num w:numId="32">
    <w:abstractNumId w:val="13"/>
  </w:num>
  <w:num w:numId="33">
    <w:abstractNumId w:val="21"/>
  </w:num>
  <w:num w:numId="34">
    <w:abstractNumId w:val="12"/>
  </w:num>
  <w:num w:numId="35">
    <w:abstractNumId w:val="19"/>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B22"/>
    <w:rsid w:val="00006ECC"/>
    <w:rsid w:val="0000791F"/>
    <w:rsid w:val="00011902"/>
    <w:rsid w:val="00012CC7"/>
    <w:rsid w:val="000178E5"/>
    <w:rsid w:val="00026263"/>
    <w:rsid w:val="00027EFC"/>
    <w:rsid w:val="0003029B"/>
    <w:rsid w:val="000414F1"/>
    <w:rsid w:val="0004450C"/>
    <w:rsid w:val="00045B26"/>
    <w:rsid w:val="00047C1B"/>
    <w:rsid w:val="000507C5"/>
    <w:rsid w:val="00053099"/>
    <w:rsid w:val="00055224"/>
    <w:rsid w:val="00061821"/>
    <w:rsid w:val="00064AB0"/>
    <w:rsid w:val="00070182"/>
    <w:rsid w:val="00074115"/>
    <w:rsid w:val="00074420"/>
    <w:rsid w:val="000762B5"/>
    <w:rsid w:val="000774C5"/>
    <w:rsid w:val="00080482"/>
    <w:rsid w:val="00082500"/>
    <w:rsid w:val="00083CC0"/>
    <w:rsid w:val="000908B1"/>
    <w:rsid w:val="00091552"/>
    <w:rsid w:val="00092E21"/>
    <w:rsid w:val="000A2CB6"/>
    <w:rsid w:val="000A5BD5"/>
    <w:rsid w:val="000B0670"/>
    <w:rsid w:val="000B5203"/>
    <w:rsid w:val="000B62E8"/>
    <w:rsid w:val="000B6814"/>
    <w:rsid w:val="000C6188"/>
    <w:rsid w:val="000D03C6"/>
    <w:rsid w:val="000D1950"/>
    <w:rsid w:val="000D214C"/>
    <w:rsid w:val="000D691B"/>
    <w:rsid w:val="000F5196"/>
    <w:rsid w:val="000F6B51"/>
    <w:rsid w:val="0010527B"/>
    <w:rsid w:val="001132C3"/>
    <w:rsid w:val="001152DA"/>
    <w:rsid w:val="001178FA"/>
    <w:rsid w:val="00117DA2"/>
    <w:rsid w:val="00124855"/>
    <w:rsid w:val="001260E7"/>
    <w:rsid w:val="00126A06"/>
    <w:rsid w:val="00130240"/>
    <w:rsid w:val="001372F1"/>
    <w:rsid w:val="00141DD7"/>
    <w:rsid w:val="0014223D"/>
    <w:rsid w:val="00145F3D"/>
    <w:rsid w:val="00157906"/>
    <w:rsid w:val="0016106E"/>
    <w:rsid w:val="00166884"/>
    <w:rsid w:val="00170585"/>
    <w:rsid w:val="00174A84"/>
    <w:rsid w:val="00175588"/>
    <w:rsid w:val="00175897"/>
    <w:rsid w:val="001758FD"/>
    <w:rsid w:val="00183CA4"/>
    <w:rsid w:val="00196BF7"/>
    <w:rsid w:val="001A02EC"/>
    <w:rsid w:val="001A114C"/>
    <w:rsid w:val="001A2A3C"/>
    <w:rsid w:val="001A5182"/>
    <w:rsid w:val="001A6394"/>
    <w:rsid w:val="001B0EF1"/>
    <w:rsid w:val="001B31FB"/>
    <w:rsid w:val="001B3F18"/>
    <w:rsid w:val="001B4A39"/>
    <w:rsid w:val="001B7B88"/>
    <w:rsid w:val="001B7C27"/>
    <w:rsid w:val="001C4194"/>
    <w:rsid w:val="001C66B9"/>
    <w:rsid w:val="001D12B5"/>
    <w:rsid w:val="001D1559"/>
    <w:rsid w:val="001F400D"/>
    <w:rsid w:val="00200225"/>
    <w:rsid w:val="0020663C"/>
    <w:rsid w:val="0021315E"/>
    <w:rsid w:val="00213E1C"/>
    <w:rsid w:val="002205C0"/>
    <w:rsid w:val="00221357"/>
    <w:rsid w:val="002218C3"/>
    <w:rsid w:val="00222EF8"/>
    <w:rsid w:val="00232D81"/>
    <w:rsid w:val="00233D67"/>
    <w:rsid w:val="002363B0"/>
    <w:rsid w:val="00245D6A"/>
    <w:rsid w:val="00266874"/>
    <w:rsid w:val="00272FC7"/>
    <w:rsid w:val="00282948"/>
    <w:rsid w:val="00293C1E"/>
    <w:rsid w:val="00293E9D"/>
    <w:rsid w:val="0029402C"/>
    <w:rsid w:val="002A12C4"/>
    <w:rsid w:val="002A2034"/>
    <w:rsid w:val="002A228B"/>
    <w:rsid w:val="002A2DC3"/>
    <w:rsid w:val="002A4CB4"/>
    <w:rsid w:val="002A6031"/>
    <w:rsid w:val="002A6C00"/>
    <w:rsid w:val="002C06B2"/>
    <w:rsid w:val="002C09FC"/>
    <w:rsid w:val="002C1256"/>
    <w:rsid w:val="002C415A"/>
    <w:rsid w:val="002C4D79"/>
    <w:rsid w:val="002C7515"/>
    <w:rsid w:val="002D1675"/>
    <w:rsid w:val="002D1EC2"/>
    <w:rsid w:val="002D3016"/>
    <w:rsid w:val="002D4ACB"/>
    <w:rsid w:val="002E0624"/>
    <w:rsid w:val="002E6A03"/>
    <w:rsid w:val="002F227A"/>
    <w:rsid w:val="002F37BE"/>
    <w:rsid w:val="002F4873"/>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3213"/>
    <w:rsid w:val="00427F2E"/>
    <w:rsid w:val="00430603"/>
    <w:rsid w:val="00434F17"/>
    <w:rsid w:val="004374AC"/>
    <w:rsid w:val="00441585"/>
    <w:rsid w:val="004447EE"/>
    <w:rsid w:val="00445D06"/>
    <w:rsid w:val="00446EF7"/>
    <w:rsid w:val="00450A99"/>
    <w:rsid w:val="00454FB3"/>
    <w:rsid w:val="0046044E"/>
    <w:rsid w:val="00461DBA"/>
    <w:rsid w:val="00477720"/>
    <w:rsid w:val="0048178E"/>
    <w:rsid w:val="00481AAF"/>
    <w:rsid w:val="004906C8"/>
    <w:rsid w:val="00491FBE"/>
    <w:rsid w:val="004979A2"/>
    <w:rsid w:val="004A0CC0"/>
    <w:rsid w:val="004B1BDE"/>
    <w:rsid w:val="004B3753"/>
    <w:rsid w:val="004C02A2"/>
    <w:rsid w:val="004C16A3"/>
    <w:rsid w:val="004C7621"/>
    <w:rsid w:val="004D073F"/>
    <w:rsid w:val="004E6BE9"/>
    <w:rsid w:val="004F1ECB"/>
    <w:rsid w:val="004F2DD4"/>
    <w:rsid w:val="004F7AF7"/>
    <w:rsid w:val="00501E21"/>
    <w:rsid w:val="00503927"/>
    <w:rsid w:val="00512153"/>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90D02"/>
    <w:rsid w:val="005A08C7"/>
    <w:rsid w:val="005A0B6E"/>
    <w:rsid w:val="005A797B"/>
    <w:rsid w:val="005B05B0"/>
    <w:rsid w:val="005B6443"/>
    <w:rsid w:val="005C09C8"/>
    <w:rsid w:val="005C3510"/>
    <w:rsid w:val="005C6DED"/>
    <w:rsid w:val="005D2B59"/>
    <w:rsid w:val="005D370F"/>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1AA0"/>
    <w:rsid w:val="006615F9"/>
    <w:rsid w:val="006639E2"/>
    <w:rsid w:val="00666AD1"/>
    <w:rsid w:val="00670673"/>
    <w:rsid w:val="00676967"/>
    <w:rsid w:val="0069410C"/>
    <w:rsid w:val="00697DD0"/>
    <w:rsid w:val="006A6BD9"/>
    <w:rsid w:val="006B3076"/>
    <w:rsid w:val="006C1B63"/>
    <w:rsid w:val="006C5E0F"/>
    <w:rsid w:val="006C6DA5"/>
    <w:rsid w:val="006D5B07"/>
    <w:rsid w:val="006E2CEE"/>
    <w:rsid w:val="006F2470"/>
    <w:rsid w:val="006F5CBA"/>
    <w:rsid w:val="006F787A"/>
    <w:rsid w:val="006F7AEB"/>
    <w:rsid w:val="007051B0"/>
    <w:rsid w:val="00705FC9"/>
    <w:rsid w:val="0070767C"/>
    <w:rsid w:val="00714A48"/>
    <w:rsid w:val="00715527"/>
    <w:rsid w:val="00717553"/>
    <w:rsid w:val="00717934"/>
    <w:rsid w:val="0072333B"/>
    <w:rsid w:val="00725024"/>
    <w:rsid w:val="00731874"/>
    <w:rsid w:val="00734976"/>
    <w:rsid w:val="00735AD3"/>
    <w:rsid w:val="00741A4C"/>
    <w:rsid w:val="007433D8"/>
    <w:rsid w:val="00744EEF"/>
    <w:rsid w:val="00745175"/>
    <w:rsid w:val="00752728"/>
    <w:rsid w:val="00754CAE"/>
    <w:rsid w:val="007600FF"/>
    <w:rsid w:val="007654A3"/>
    <w:rsid w:val="00766B1F"/>
    <w:rsid w:val="00766B69"/>
    <w:rsid w:val="00767BC9"/>
    <w:rsid w:val="00774536"/>
    <w:rsid w:val="00775BF4"/>
    <w:rsid w:val="00794F80"/>
    <w:rsid w:val="0079703B"/>
    <w:rsid w:val="007A05E1"/>
    <w:rsid w:val="007A5EAA"/>
    <w:rsid w:val="007A6634"/>
    <w:rsid w:val="007A681B"/>
    <w:rsid w:val="007B1212"/>
    <w:rsid w:val="007B2C77"/>
    <w:rsid w:val="007B3C72"/>
    <w:rsid w:val="007B4114"/>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4CAE"/>
    <w:rsid w:val="008073CD"/>
    <w:rsid w:val="008102A9"/>
    <w:rsid w:val="00810F15"/>
    <w:rsid w:val="00811205"/>
    <w:rsid w:val="00812888"/>
    <w:rsid w:val="00812C48"/>
    <w:rsid w:val="00812E6B"/>
    <w:rsid w:val="00814E13"/>
    <w:rsid w:val="008212A5"/>
    <w:rsid w:val="008217D2"/>
    <w:rsid w:val="00830D0D"/>
    <w:rsid w:val="00834D80"/>
    <w:rsid w:val="00847D23"/>
    <w:rsid w:val="00862368"/>
    <w:rsid w:val="00865FA4"/>
    <w:rsid w:val="008707E9"/>
    <w:rsid w:val="00873D6E"/>
    <w:rsid w:val="008773E7"/>
    <w:rsid w:val="00884054"/>
    <w:rsid w:val="00887A61"/>
    <w:rsid w:val="00887CAA"/>
    <w:rsid w:val="00892D37"/>
    <w:rsid w:val="008A0F04"/>
    <w:rsid w:val="008B678F"/>
    <w:rsid w:val="008B7187"/>
    <w:rsid w:val="008C00FA"/>
    <w:rsid w:val="008C1A65"/>
    <w:rsid w:val="008C3E28"/>
    <w:rsid w:val="008C482A"/>
    <w:rsid w:val="008C55A3"/>
    <w:rsid w:val="008C6D9D"/>
    <w:rsid w:val="008D0B1F"/>
    <w:rsid w:val="008D4BB0"/>
    <w:rsid w:val="008D5E4B"/>
    <w:rsid w:val="008D6629"/>
    <w:rsid w:val="008E4E96"/>
    <w:rsid w:val="008E629B"/>
    <w:rsid w:val="008E6375"/>
    <w:rsid w:val="008E6ED6"/>
    <w:rsid w:val="008E7534"/>
    <w:rsid w:val="008F2BA6"/>
    <w:rsid w:val="008F31B3"/>
    <w:rsid w:val="008F4C93"/>
    <w:rsid w:val="00900224"/>
    <w:rsid w:val="00902F0D"/>
    <w:rsid w:val="00907F56"/>
    <w:rsid w:val="00911AD7"/>
    <w:rsid w:val="0091304D"/>
    <w:rsid w:val="00913196"/>
    <w:rsid w:val="00913DE6"/>
    <w:rsid w:val="00932918"/>
    <w:rsid w:val="00934C9B"/>
    <w:rsid w:val="00942A79"/>
    <w:rsid w:val="00944468"/>
    <w:rsid w:val="00944DC9"/>
    <w:rsid w:val="0095267A"/>
    <w:rsid w:val="009567F2"/>
    <w:rsid w:val="00961D50"/>
    <w:rsid w:val="00964A99"/>
    <w:rsid w:val="0096605C"/>
    <w:rsid w:val="0096643B"/>
    <w:rsid w:val="009738FB"/>
    <w:rsid w:val="00973E6E"/>
    <w:rsid w:val="009743C4"/>
    <w:rsid w:val="009815F8"/>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7BCC"/>
    <w:rsid w:val="009D50C6"/>
    <w:rsid w:val="009E227D"/>
    <w:rsid w:val="009E31C7"/>
    <w:rsid w:val="009E7413"/>
    <w:rsid w:val="009F0A85"/>
    <w:rsid w:val="00A04A4E"/>
    <w:rsid w:val="00A0661B"/>
    <w:rsid w:val="00A07A43"/>
    <w:rsid w:val="00A112FB"/>
    <w:rsid w:val="00A22B59"/>
    <w:rsid w:val="00A30F2E"/>
    <w:rsid w:val="00A33FE3"/>
    <w:rsid w:val="00A43700"/>
    <w:rsid w:val="00A44B75"/>
    <w:rsid w:val="00A47C12"/>
    <w:rsid w:val="00A51B64"/>
    <w:rsid w:val="00A539A5"/>
    <w:rsid w:val="00A54B59"/>
    <w:rsid w:val="00A608D7"/>
    <w:rsid w:val="00A6194C"/>
    <w:rsid w:val="00A625E2"/>
    <w:rsid w:val="00A72150"/>
    <w:rsid w:val="00A72465"/>
    <w:rsid w:val="00A80C92"/>
    <w:rsid w:val="00A81100"/>
    <w:rsid w:val="00A9078E"/>
    <w:rsid w:val="00A952D2"/>
    <w:rsid w:val="00A95C3D"/>
    <w:rsid w:val="00AA4738"/>
    <w:rsid w:val="00AA648E"/>
    <w:rsid w:val="00AB09E3"/>
    <w:rsid w:val="00AB3710"/>
    <w:rsid w:val="00AB4B0F"/>
    <w:rsid w:val="00AC0CCC"/>
    <w:rsid w:val="00AC3768"/>
    <w:rsid w:val="00AC3CC3"/>
    <w:rsid w:val="00AD3BA3"/>
    <w:rsid w:val="00AE09E5"/>
    <w:rsid w:val="00AE3CCC"/>
    <w:rsid w:val="00AE4213"/>
    <w:rsid w:val="00AE62B4"/>
    <w:rsid w:val="00AF1AC2"/>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50140"/>
    <w:rsid w:val="00B52C95"/>
    <w:rsid w:val="00B554F8"/>
    <w:rsid w:val="00B6516B"/>
    <w:rsid w:val="00B777F6"/>
    <w:rsid w:val="00B8387B"/>
    <w:rsid w:val="00B85A40"/>
    <w:rsid w:val="00B86A10"/>
    <w:rsid w:val="00BA4DC0"/>
    <w:rsid w:val="00BA7AD1"/>
    <w:rsid w:val="00BA7AEB"/>
    <w:rsid w:val="00BB243B"/>
    <w:rsid w:val="00BB31BE"/>
    <w:rsid w:val="00BB3580"/>
    <w:rsid w:val="00BC0FDD"/>
    <w:rsid w:val="00BC22E0"/>
    <w:rsid w:val="00BD304D"/>
    <w:rsid w:val="00BE32A8"/>
    <w:rsid w:val="00BE4347"/>
    <w:rsid w:val="00BE4694"/>
    <w:rsid w:val="00BE4778"/>
    <w:rsid w:val="00BF4CB5"/>
    <w:rsid w:val="00BF63A0"/>
    <w:rsid w:val="00C03CC0"/>
    <w:rsid w:val="00C2109F"/>
    <w:rsid w:val="00C2287C"/>
    <w:rsid w:val="00C34E64"/>
    <w:rsid w:val="00C364A1"/>
    <w:rsid w:val="00C40A82"/>
    <w:rsid w:val="00C40FD6"/>
    <w:rsid w:val="00C47608"/>
    <w:rsid w:val="00C50568"/>
    <w:rsid w:val="00C52738"/>
    <w:rsid w:val="00C531DA"/>
    <w:rsid w:val="00C628D6"/>
    <w:rsid w:val="00C66929"/>
    <w:rsid w:val="00C67E4D"/>
    <w:rsid w:val="00C715C2"/>
    <w:rsid w:val="00C93BCC"/>
    <w:rsid w:val="00C94F10"/>
    <w:rsid w:val="00C969A6"/>
    <w:rsid w:val="00CA3280"/>
    <w:rsid w:val="00CB147C"/>
    <w:rsid w:val="00CB2B18"/>
    <w:rsid w:val="00CB2E37"/>
    <w:rsid w:val="00CB60D0"/>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60396"/>
    <w:rsid w:val="00D633C2"/>
    <w:rsid w:val="00D70DD1"/>
    <w:rsid w:val="00D72D16"/>
    <w:rsid w:val="00D76554"/>
    <w:rsid w:val="00D76C70"/>
    <w:rsid w:val="00D77A67"/>
    <w:rsid w:val="00D827D4"/>
    <w:rsid w:val="00D90540"/>
    <w:rsid w:val="00D94E82"/>
    <w:rsid w:val="00D9743B"/>
    <w:rsid w:val="00D97E7D"/>
    <w:rsid w:val="00DA380F"/>
    <w:rsid w:val="00DA3F35"/>
    <w:rsid w:val="00DA67C7"/>
    <w:rsid w:val="00DB34DB"/>
    <w:rsid w:val="00DB5C0A"/>
    <w:rsid w:val="00DB765C"/>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4E07"/>
    <w:rsid w:val="00EF4BB2"/>
    <w:rsid w:val="00F004E8"/>
    <w:rsid w:val="00F01245"/>
    <w:rsid w:val="00F01E46"/>
    <w:rsid w:val="00F02577"/>
    <w:rsid w:val="00F0351B"/>
    <w:rsid w:val="00F10DEE"/>
    <w:rsid w:val="00F152F2"/>
    <w:rsid w:val="00F178AB"/>
    <w:rsid w:val="00F17995"/>
    <w:rsid w:val="00F22566"/>
    <w:rsid w:val="00F24036"/>
    <w:rsid w:val="00F2683D"/>
    <w:rsid w:val="00F30AF5"/>
    <w:rsid w:val="00F30C01"/>
    <w:rsid w:val="00F36386"/>
    <w:rsid w:val="00F37FEA"/>
    <w:rsid w:val="00F406EA"/>
    <w:rsid w:val="00F4684B"/>
    <w:rsid w:val="00F46ABE"/>
    <w:rsid w:val="00F50A57"/>
    <w:rsid w:val="00F50EBD"/>
    <w:rsid w:val="00F727B0"/>
    <w:rsid w:val="00F749F8"/>
    <w:rsid w:val="00F81A44"/>
    <w:rsid w:val="00F86E0C"/>
    <w:rsid w:val="00FA3867"/>
    <w:rsid w:val="00FA4C4E"/>
    <w:rsid w:val="00FA5EBB"/>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57A7-2DE0-4877-841B-5B01550C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29</Pages>
  <Words>5243</Words>
  <Characters>28841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2018-09-12T18:51:00Z</cp:lastPrinted>
  <dcterms:created xsi:type="dcterms:W3CDTF">2018-09-06T18:45:00Z</dcterms:created>
  <dcterms:modified xsi:type="dcterms:W3CDTF">2018-09-20T18:39:00Z</dcterms:modified>
</cp:coreProperties>
</file>